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962" w:rsidRPr="00371BEF" w:rsidRDefault="009E327D" w:rsidP="00870A1B">
      <w:pPr>
        <w:pStyle w:val="Title"/>
      </w:pPr>
      <w:r>
        <w:rPr>
          <w:noProof/>
          <w:lang w:eastAsia="en-GB"/>
        </w:rPr>
        <w:pict>
          <v:group id="_x0000_s1144" style="position:absolute;left:0;text-align:left;margin-left:0;margin-top:12.4pt;width:48pt;height:664.7pt;z-index:4" coordorigin="1418,1382" coordsize="960,13294">
            <v:shapetype id="_x0000_t202" coordsize="21600,21600" o:spt="202" path="m,l,21600r21600,l21600,xe">
              <v:stroke joinstyle="miter"/>
              <v:path gradientshapeok="t" o:connecttype="rect"/>
            </v:shapetype>
            <v:shape id="_x0000_s1138" type="#_x0000_t202" style="position:absolute;left:-2350;top:9923;width:8495;height:720;rotation:-90" o:regroupid="3" filled="f" fillcolor="#0c9" stroked="f">
              <v:textbox style="layout-flow:vertical;mso-layout-flow-alt:bottom-to-top;mso-next-textbox:#_x0000_s1138">
                <w:txbxContent>
                  <w:p w:rsidR="00A16906" w:rsidRDefault="00A1690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139" type="#_x0000_t202" style="position:absolute;left:-473;top:3371;width:4719;height:742;rotation:-90" o:regroupid="3" filled="f" fillcolor="#0c9" stroked="f">
              <v:textbox style="layout-flow:vertical;mso-layout-flow-alt:bottom-to-top;mso-next-textbox:#_x0000_s1139">
                <w:txbxContent>
                  <w:p w:rsidR="00A16906" w:rsidRDefault="00A16906" w:rsidP="00E570BA">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v:line id="_x0000_s1140" style="position:absolute;flip:y;v-text-anchor:middle" from="2378,1382" to="2378,14676" o:regroupid="3"/>
            <v:line id="_x0000_s1141" style="position:absolute;v-text-anchor:middle" from="1418,1382" to="1418,14676" o:regroupid="3"/>
          </v:group>
        </w:pict>
      </w:r>
      <w:r>
        <w:rPr>
          <w:noProof/>
          <w:lang w:eastAsia="en-GB"/>
        </w:rPr>
        <w:pict>
          <v:shape id="_x0000_s1142" type="#_x0000_t202" style="position:absolute;left:0;text-align:left;margin-left:67.35pt;margin-top:585.35pt;width:361.25pt;height:69.6pt;z-index:3" o:regroupid="2" filled="f" fillcolor="#0c9" stroked="f">
            <v:textbox style="mso-next-textbox:#_x0000_s1142">
              <w:txbxContent>
                <w:p w:rsidR="00A16906" w:rsidRPr="00460028" w:rsidRDefault="00A16906"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rsidR="00A16906" w:rsidRDefault="00A16906"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A16906" w:rsidRDefault="00A16906"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A16906" w:rsidRDefault="00A16906"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98pt;margin-top:363.1pt;width:70.75pt;height:97.4pt;z-index:2" o:regroupid="2">
            <v:imagedata r:id="rId10" o:title="IALA logo1"/>
          </v:shape>
        </w:pict>
      </w:r>
      <w:r>
        <w:rPr>
          <w:noProof/>
          <w:lang w:eastAsia="en-GB"/>
        </w:rPr>
        <w:pict>
          <v:shape id="_x0000_s1135" type="#_x0000_t202" style="position:absolute;left:0;text-align:left;margin-left:84pt;margin-top:39.1pt;width:4in;height:258.85pt;z-index:1" o:regroupid="2" filled="f" fillcolor="#0c9" stroked="f">
            <v:textbox style="mso-next-textbox:#_x0000_s1135">
              <w:txbxContent>
                <w:p w:rsidR="00A16906" w:rsidRPr="00380C7B" w:rsidRDefault="00A16906"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004F41E7">
                    <w:rPr>
                      <w:rFonts w:cs="Arial"/>
                      <w:b/>
                      <w:bCs/>
                      <w:color w:val="000000"/>
                      <w:sz w:val="36"/>
                      <w:szCs w:val="36"/>
                      <w:highlight w:val="yellow"/>
                    </w:rPr>
                    <w:t>1071</w:t>
                  </w:r>
                </w:p>
                <w:p w:rsidR="00A16906" w:rsidRPr="00380C7B" w:rsidRDefault="00A16906" w:rsidP="00460028">
                  <w:pPr>
                    <w:autoSpaceDE w:val="0"/>
                    <w:autoSpaceDN w:val="0"/>
                    <w:adjustRightInd w:val="0"/>
                    <w:jc w:val="center"/>
                    <w:rPr>
                      <w:rFonts w:cs="Arial"/>
                      <w:b/>
                      <w:bCs/>
                      <w:color w:val="000000"/>
                      <w:sz w:val="36"/>
                      <w:szCs w:val="36"/>
                      <w:highlight w:val="yellow"/>
                    </w:rPr>
                  </w:pPr>
                </w:p>
                <w:p w:rsidR="00A16906" w:rsidRPr="000051ED" w:rsidRDefault="00A16906" w:rsidP="00460028">
                  <w:pPr>
                    <w:autoSpaceDE w:val="0"/>
                    <w:autoSpaceDN w:val="0"/>
                    <w:adjustRightInd w:val="0"/>
                    <w:jc w:val="center"/>
                    <w:rPr>
                      <w:rFonts w:cs="Arial"/>
                      <w:b/>
                      <w:bCs/>
                      <w:color w:val="000000"/>
                      <w:sz w:val="36"/>
                      <w:szCs w:val="36"/>
                    </w:rPr>
                  </w:pPr>
                  <w:r w:rsidRPr="000051ED">
                    <w:rPr>
                      <w:rFonts w:cs="Arial"/>
                      <w:b/>
                      <w:bCs/>
                      <w:color w:val="000000"/>
                      <w:sz w:val="36"/>
                      <w:szCs w:val="36"/>
                    </w:rPr>
                    <w:t>On</w:t>
                  </w:r>
                </w:p>
                <w:p w:rsidR="00A16906" w:rsidRPr="000051ED" w:rsidRDefault="00A16906" w:rsidP="00460028">
                  <w:pPr>
                    <w:autoSpaceDE w:val="0"/>
                    <w:autoSpaceDN w:val="0"/>
                    <w:adjustRightInd w:val="0"/>
                    <w:jc w:val="center"/>
                    <w:rPr>
                      <w:rFonts w:cs="Arial"/>
                      <w:b/>
                      <w:bCs/>
                      <w:color w:val="000000"/>
                      <w:sz w:val="36"/>
                      <w:szCs w:val="36"/>
                    </w:rPr>
                  </w:pPr>
                </w:p>
                <w:p w:rsidR="00A16906" w:rsidRPr="000051ED" w:rsidRDefault="00A16906" w:rsidP="00460028">
                  <w:pPr>
                    <w:autoSpaceDE w:val="0"/>
                    <w:autoSpaceDN w:val="0"/>
                    <w:adjustRightInd w:val="0"/>
                    <w:jc w:val="center"/>
                    <w:rPr>
                      <w:rFonts w:cs="Arial"/>
                      <w:b/>
                      <w:bCs/>
                      <w:color w:val="000000"/>
                      <w:sz w:val="36"/>
                      <w:szCs w:val="36"/>
                    </w:rPr>
                  </w:pPr>
                  <w:r>
                    <w:rPr>
                      <w:rFonts w:cs="Arial"/>
                      <w:b/>
                      <w:bCs/>
                      <w:color w:val="000000"/>
                      <w:sz w:val="36"/>
                      <w:szCs w:val="36"/>
                    </w:rPr>
                    <w:t xml:space="preserve">Establishment of a </w:t>
                  </w:r>
                  <w:r w:rsidRPr="000051ED">
                    <w:rPr>
                      <w:rFonts w:cs="Arial"/>
                      <w:b/>
                      <w:bCs/>
                      <w:color w:val="000000"/>
                      <w:sz w:val="36"/>
                      <w:szCs w:val="36"/>
                    </w:rPr>
                    <w:t>V</w:t>
                  </w:r>
                  <w:r>
                    <w:rPr>
                      <w:rFonts w:cs="Arial"/>
                      <w:b/>
                      <w:bCs/>
                      <w:color w:val="000000"/>
                      <w:sz w:val="36"/>
                      <w:szCs w:val="36"/>
                    </w:rPr>
                    <w:t>essel Traffic Service</w:t>
                  </w:r>
                  <w:r w:rsidRPr="000051ED">
                    <w:rPr>
                      <w:rFonts w:cs="Arial"/>
                      <w:b/>
                      <w:bCs/>
                      <w:color w:val="000000"/>
                      <w:sz w:val="36"/>
                      <w:szCs w:val="36"/>
                    </w:rPr>
                    <w:t xml:space="preserve"> </w:t>
                  </w:r>
                  <w:r w:rsidR="00E455AF">
                    <w:rPr>
                      <w:rFonts w:cs="Arial"/>
                      <w:b/>
                      <w:bCs/>
                      <w:color w:val="000000"/>
                      <w:sz w:val="36"/>
                      <w:szCs w:val="36"/>
                    </w:rPr>
                    <w:t>beyond Territorial Sea</w:t>
                  </w:r>
                  <w:r w:rsidRPr="000051ED">
                    <w:rPr>
                      <w:rFonts w:cs="Arial"/>
                      <w:b/>
                      <w:bCs/>
                      <w:color w:val="000000"/>
                      <w:sz w:val="36"/>
                      <w:szCs w:val="36"/>
                    </w:rPr>
                    <w:t>s</w:t>
                  </w:r>
                </w:p>
                <w:p w:rsidR="00A16906" w:rsidRPr="000051ED" w:rsidRDefault="00A16906" w:rsidP="00460028">
                  <w:pPr>
                    <w:autoSpaceDE w:val="0"/>
                    <w:autoSpaceDN w:val="0"/>
                    <w:adjustRightInd w:val="0"/>
                    <w:jc w:val="center"/>
                    <w:rPr>
                      <w:rFonts w:cs="Arial"/>
                      <w:b/>
                      <w:bCs/>
                      <w:color w:val="000000"/>
                      <w:sz w:val="36"/>
                      <w:szCs w:val="36"/>
                    </w:rPr>
                  </w:pPr>
                </w:p>
                <w:p w:rsidR="00A16906" w:rsidRPr="000051ED" w:rsidRDefault="00A16906" w:rsidP="00460028">
                  <w:pPr>
                    <w:autoSpaceDE w:val="0"/>
                    <w:autoSpaceDN w:val="0"/>
                    <w:adjustRightInd w:val="0"/>
                    <w:jc w:val="center"/>
                    <w:rPr>
                      <w:rFonts w:cs="Arial"/>
                      <w:b/>
                      <w:bCs/>
                      <w:color w:val="000000"/>
                      <w:sz w:val="36"/>
                      <w:szCs w:val="36"/>
                    </w:rPr>
                  </w:pPr>
                  <w:r w:rsidRPr="000051ED">
                    <w:rPr>
                      <w:rFonts w:cs="Arial"/>
                      <w:b/>
                      <w:bCs/>
                      <w:color w:val="000000"/>
                      <w:sz w:val="36"/>
                      <w:szCs w:val="36"/>
                    </w:rPr>
                    <w:t>Edition 1</w:t>
                  </w:r>
                </w:p>
                <w:p w:rsidR="00A16906" w:rsidRPr="00380C7B" w:rsidRDefault="00A16906" w:rsidP="00460028">
                  <w:pPr>
                    <w:autoSpaceDE w:val="0"/>
                    <w:autoSpaceDN w:val="0"/>
                    <w:adjustRightInd w:val="0"/>
                    <w:jc w:val="center"/>
                    <w:rPr>
                      <w:rFonts w:cs="Arial"/>
                      <w:b/>
                      <w:bCs/>
                      <w:color w:val="000000"/>
                      <w:sz w:val="36"/>
                      <w:szCs w:val="36"/>
                      <w:highlight w:val="yellow"/>
                    </w:rPr>
                  </w:pPr>
                </w:p>
                <w:p w:rsidR="00A16906" w:rsidRPr="00380C7B" w:rsidRDefault="004F41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2009</w:t>
                  </w:r>
                </w:p>
                <w:p w:rsidR="00A16906" w:rsidRDefault="00A16906" w:rsidP="00460028">
                  <w:pPr>
                    <w:autoSpaceDE w:val="0"/>
                    <w:autoSpaceDN w:val="0"/>
                    <w:adjustRightInd w:val="0"/>
                    <w:jc w:val="center"/>
                    <w:rPr>
                      <w:rFonts w:cs="Arial"/>
                      <w:b/>
                      <w:bCs/>
                      <w:color w:val="000000"/>
                    </w:rPr>
                  </w:pPr>
                </w:p>
              </w:txbxContent>
            </v:textbox>
          </v:shape>
        </w:pict>
      </w:r>
      <w:r w:rsidR="00460028" w:rsidRPr="00371BEF">
        <w:br w:type="page"/>
      </w:r>
      <w:bookmarkStart w:id="0" w:name="_Toc243025516"/>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43025517"/>
      <w:r w:rsidR="00371BEF" w:rsidRPr="00371BEF">
        <w:lastRenderedPageBreak/>
        <w:t>Table of Contents</w:t>
      </w:r>
      <w:bookmarkEnd w:id="1"/>
    </w:p>
    <w:p w:rsidR="00B214F9" w:rsidRDefault="009E327D">
      <w:pPr>
        <w:pStyle w:val="TOC1"/>
        <w:rPr>
          <w:rFonts w:asciiTheme="minorHAnsi" w:eastAsiaTheme="minorEastAsia" w:hAnsiTheme="minorHAnsi" w:cstheme="minorBidi"/>
          <w:b w:val="0"/>
          <w:bCs w:val="0"/>
          <w:caps w:val="0"/>
          <w:noProof/>
          <w:szCs w:val="22"/>
          <w:lang w:eastAsia="en-GB"/>
        </w:rPr>
      </w:pPr>
      <w:r w:rsidRPr="009E327D">
        <w:rPr>
          <w:b w:val="0"/>
          <w:bCs w:val="0"/>
          <w:caps w:val="0"/>
        </w:rPr>
        <w:fldChar w:fldCharType="begin"/>
      </w:r>
      <w:r w:rsidR="00F155DC">
        <w:rPr>
          <w:b w:val="0"/>
          <w:bCs w:val="0"/>
          <w:caps w:val="0"/>
        </w:rPr>
        <w:instrText xml:space="preserve"> TOC \o "3-3" \h \z \t "Heading 1,1,Heading 2,2,Annex,5,Appendix,5,Title,1" </w:instrText>
      </w:r>
      <w:r w:rsidRPr="009E327D">
        <w:rPr>
          <w:b w:val="0"/>
          <w:bCs w:val="0"/>
          <w:caps w:val="0"/>
        </w:rPr>
        <w:fldChar w:fldCharType="separate"/>
      </w:r>
      <w:hyperlink w:anchor="_Toc243025516" w:history="1">
        <w:r w:rsidR="00B214F9" w:rsidRPr="00D90EED">
          <w:rPr>
            <w:rStyle w:val="Hyperlink"/>
            <w:noProof/>
          </w:rPr>
          <w:t>Document Revisions</w:t>
        </w:r>
        <w:r w:rsidR="00B214F9">
          <w:rPr>
            <w:noProof/>
            <w:webHidden/>
          </w:rPr>
          <w:tab/>
        </w:r>
        <w:r>
          <w:rPr>
            <w:noProof/>
            <w:webHidden/>
          </w:rPr>
          <w:fldChar w:fldCharType="begin"/>
        </w:r>
        <w:r w:rsidR="00B214F9">
          <w:rPr>
            <w:noProof/>
            <w:webHidden/>
          </w:rPr>
          <w:instrText xml:space="preserve"> PAGEREF _Toc243025516 \h </w:instrText>
        </w:r>
        <w:r>
          <w:rPr>
            <w:noProof/>
            <w:webHidden/>
          </w:rPr>
        </w:r>
        <w:r>
          <w:rPr>
            <w:noProof/>
            <w:webHidden/>
          </w:rPr>
          <w:fldChar w:fldCharType="separate"/>
        </w:r>
        <w:r w:rsidR="00E32AA8">
          <w:rPr>
            <w:noProof/>
            <w:webHidden/>
          </w:rPr>
          <w:t>2</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17" w:history="1">
        <w:r w:rsidR="00B214F9" w:rsidRPr="00D90EED">
          <w:rPr>
            <w:rStyle w:val="Hyperlink"/>
            <w:noProof/>
          </w:rPr>
          <w:t>Table of Contents</w:t>
        </w:r>
        <w:r w:rsidR="00B214F9">
          <w:rPr>
            <w:noProof/>
            <w:webHidden/>
          </w:rPr>
          <w:tab/>
        </w:r>
        <w:r>
          <w:rPr>
            <w:noProof/>
            <w:webHidden/>
          </w:rPr>
          <w:fldChar w:fldCharType="begin"/>
        </w:r>
        <w:r w:rsidR="00B214F9">
          <w:rPr>
            <w:noProof/>
            <w:webHidden/>
          </w:rPr>
          <w:instrText xml:space="preserve"> PAGEREF _Toc243025517 \h </w:instrText>
        </w:r>
        <w:r>
          <w:rPr>
            <w:noProof/>
            <w:webHidden/>
          </w:rPr>
        </w:r>
        <w:r>
          <w:rPr>
            <w:noProof/>
            <w:webHidden/>
          </w:rPr>
          <w:fldChar w:fldCharType="separate"/>
        </w:r>
        <w:r w:rsidR="00E32AA8">
          <w:rPr>
            <w:noProof/>
            <w:webHidden/>
          </w:rPr>
          <w:t>3</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18" w:history="1">
        <w:r w:rsidR="00B214F9" w:rsidRPr="00D90EED">
          <w:rPr>
            <w:rStyle w:val="Hyperlink"/>
            <w:noProof/>
          </w:rPr>
          <w:t>1</w:t>
        </w:r>
        <w:r w:rsidR="00B214F9">
          <w:rPr>
            <w:rFonts w:asciiTheme="minorHAnsi" w:eastAsiaTheme="minorEastAsia" w:hAnsiTheme="minorHAnsi" w:cstheme="minorBidi"/>
            <w:b w:val="0"/>
            <w:bCs w:val="0"/>
            <w:caps w:val="0"/>
            <w:noProof/>
            <w:szCs w:val="22"/>
            <w:lang w:eastAsia="en-GB"/>
          </w:rPr>
          <w:tab/>
        </w:r>
        <w:r w:rsidR="00B214F9" w:rsidRPr="00D90EED">
          <w:rPr>
            <w:rStyle w:val="Hyperlink"/>
            <w:noProof/>
          </w:rPr>
          <w:t>Introduction</w:t>
        </w:r>
        <w:r w:rsidR="00B214F9">
          <w:rPr>
            <w:noProof/>
            <w:webHidden/>
          </w:rPr>
          <w:tab/>
        </w:r>
        <w:r>
          <w:rPr>
            <w:noProof/>
            <w:webHidden/>
          </w:rPr>
          <w:fldChar w:fldCharType="begin"/>
        </w:r>
        <w:r w:rsidR="00B214F9">
          <w:rPr>
            <w:noProof/>
            <w:webHidden/>
          </w:rPr>
          <w:instrText xml:space="preserve"> PAGEREF _Toc243025518 \h </w:instrText>
        </w:r>
        <w:r>
          <w:rPr>
            <w:noProof/>
            <w:webHidden/>
          </w:rPr>
        </w:r>
        <w:r>
          <w:rPr>
            <w:noProof/>
            <w:webHidden/>
          </w:rPr>
          <w:fldChar w:fldCharType="separate"/>
        </w:r>
        <w:r w:rsidR="00E32AA8">
          <w:rPr>
            <w:noProof/>
            <w:webHidden/>
          </w:rPr>
          <w:t>4</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19" w:history="1">
        <w:r w:rsidR="00B214F9" w:rsidRPr="00D90EED">
          <w:rPr>
            <w:rStyle w:val="Hyperlink"/>
            <w:noProof/>
          </w:rPr>
          <w:t>2</w:t>
        </w:r>
        <w:r w:rsidR="00B214F9">
          <w:rPr>
            <w:rFonts w:asciiTheme="minorHAnsi" w:eastAsiaTheme="minorEastAsia" w:hAnsiTheme="minorHAnsi" w:cstheme="minorBidi"/>
            <w:b w:val="0"/>
            <w:bCs w:val="0"/>
            <w:caps w:val="0"/>
            <w:noProof/>
            <w:szCs w:val="22"/>
            <w:lang w:eastAsia="en-GB"/>
          </w:rPr>
          <w:tab/>
        </w:r>
        <w:r w:rsidR="00B214F9" w:rsidRPr="00D90EED">
          <w:rPr>
            <w:rStyle w:val="Hyperlink"/>
            <w:noProof/>
          </w:rPr>
          <w:t>Background</w:t>
        </w:r>
        <w:r w:rsidR="00B214F9">
          <w:rPr>
            <w:noProof/>
            <w:webHidden/>
          </w:rPr>
          <w:tab/>
        </w:r>
        <w:r>
          <w:rPr>
            <w:noProof/>
            <w:webHidden/>
          </w:rPr>
          <w:fldChar w:fldCharType="begin"/>
        </w:r>
        <w:r w:rsidR="00B214F9">
          <w:rPr>
            <w:noProof/>
            <w:webHidden/>
          </w:rPr>
          <w:instrText xml:space="preserve"> PAGEREF _Toc243025519 \h </w:instrText>
        </w:r>
        <w:r>
          <w:rPr>
            <w:noProof/>
            <w:webHidden/>
          </w:rPr>
        </w:r>
        <w:r>
          <w:rPr>
            <w:noProof/>
            <w:webHidden/>
          </w:rPr>
          <w:fldChar w:fldCharType="separate"/>
        </w:r>
        <w:r w:rsidR="00E32AA8">
          <w:rPr>
            <w:noProof/>
            <w:webHidden/>
          </w:rPr>
          <w:t>4</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20" w:history="1">
        <w:r w:rsidR="00B214F9" w:rsidRPr="00D90EED">
          <w:rPr>
            <w:rStyle w:val="Hyperlink"/>
            <w:noProof/>
          </w:rPr>
          <w:t>3</w:t>
        </w:r>
        <w:r w:rsidR="00B214F9">
          <w:rPr>
            <w:rFonts w:asciiTheme="minorHAnsi" w:eastAsiaTheme="minorEastAsia" w:hAnsiTheme="minorHAnsi" w:cstheme="minorBidi"/>
            <w:b w:val="0"/>
            <w:bCs w:val="0"/>
            <w:caps w:val="0"/>
            <w:noProof/>
            <w:szCs w:val="22"/>
            <w:lang w:eastAsia="en-GB"/>
          </w:rPr>
          <w:tab/>
        </w:r>
        <w:r w:rsidR="00B214F9" w:rsidRPr="00D90EED">
          <w:rPr>
            <w:rStyle w:val="Hyperlink"/>
            <w:noProof/>
          </w:rPr>
          <w:t>OPTIONS AVAILABLE</w:t>
        </w:r>
        <w:r w:rsidR="00B214F9">
          <w:rPr>
            <w:noProof/>
            <w:webHidden/>
          </w:rPr>
          <w:tab/>
        </w:r>
        <w:r>
          <w:rPr>
            <w:noProof/>
            <w:webHidden/>
          </w:rPr>
          <w:fldChar w:fldCharType="begin"/>
        </w:r>
        <w:r w:rsidR="00B214F9">
          <w:rPr>
            <w:noProof/>
            <w:webHidden/>
          </w:rPr>
          <w:instrText xml:space="preserve"> PAGEREF _Toc243025520 \h </w:instrText>
        </w:r>
        <w:r>
          <w:rPr>
            <w:noProof/>
            <w:webHidden/>
          </w:rPr>
        </w:r>
        <w:r>
          <w:rPr>
            <w:noProof/>
            <w:webHidden/>
          </w:rPr>
          <w:fldChar w:fldCharType="separate"/>
        </w:r>
        <w:r w:rsidR="00E32AA8">
          <w:rPr>
            <w:noProof/>
            <w:webHidden/>
          </w:rPr>
          <w:t>4</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21" w:history="1">
        <w:r w:rsidR="00B214F9" w:rsidRPr="00D90EED">
          <w:rPr>
            <w:rStyle w:val="Hyperlink"/>
            <w:noProof/>
          </w:rPr>
          <w:t>4</w:t>
        </w:r>
        <w:r w:rsidR="00B214F9">
          <w:rPr>
            <w:rFonts w:asciiTheme="minorHAnsi" w:eastAsiaTheme="minorEastAsia" w:hAnsiTheme="minorHAnsi" w:cstheme="minorBidi"/>
            <w:b w:val="0"/>
            <w:bCs w:val="0"/>
            <w:caps w:val="0"/>
            <w:noProof/>
            <w:szCs w:val="22"/>
            <w:lang w:eastAsia="en-GB"/>
          </w:rPr>
          <w:tab/>
        </w:r>
        <w:r w:rsidR="00B214F9" w:rsidRPr="00D90EED">
          <w:rPr>
            <w:rStyle w:val="Hyperlink"/>
            <w:noProof/>
          </w:rPr>
          <w:t>typeS OF SERVICE</w:t>
        </w:r>
        <w:r w:rsidR="00B214F9">
          <w:rPr>
            <w:noProof/>
            <w:webHidden/>
          </w:rPr>
          <w:tab/>
        </w:r>
        <w:r>
          <w:rPr>
            <w:noProof/>
            <w:webHidden/>
          </w:rPr>
          <w:fldChar w:fldCharType="begin"/>
        </w:r>
        <w:r w:rsidR="00B214F9">
          <w:rPr>
            <w:noProof/>
            <w:webHidden/>
          </w:rPr>
          <w:instrText xml:space="preserve"> PAGEREF _Toc243025521 \h </w:instrText>
        </w:r>
        <w:r>
          <w:rPr>
            <w:noProof/>
            <w:webHidden/>
          </w:rPr>
        </w:r>
        <w:r>
          <w:rPr>
            <w:noProof/>
            <w:webHidden/>
          </w:rPr>
          <w:fldChar w:fldCharType="separate"/>
        </w:r>
        <w:r w:rsidR="00E32AA8">
          <w:rPr>
            <w:noProof/>
            <w:webHidden/>
          </w:rPr>
          <w:t>4</w:t>
        </w:r>
        <w:r>
          <w:rPr>
            <w:noProof/>
            <w:webHidden/>
          </w:rPr>
          <w:fldChar w:fldCharType="end"/>
        </w:r>
      </w:hyperlink>
    </w:p>
    <w:p w:rsidR="00B214F9" w:rsidRDefault="009E327D">
      <w:pPr>
        <w:pStyle w:val="TOC1"/>
        <w:rPr>
          <w:rFonts w:asciiTheme="minorHAnsi" w:eastAsiaTheme="minorEastAsia" w:hAnsiTheme="minorHAnsi" w:cstheme="minorBidi"/>
          <w:b w:val="0"/>
          <w:bCs w:val="0"/>
          <w:caps w:val="0"/>
          <w:noProof/>
          <w:szCs w:val="22"/>
          <w:lang w:eastAsia="en-GB"/>
        </w:rPr>
      </w:pPr>
      <w:hyperlink w:anchor="_Toc243025522" w:history="1">
        <w:r w:rsidR="00B214F9" w:rsidRPr="00D90EED">
          <w:rPr>
            <w:rStyle w:val="Hyperlink"/>
            <w:noProof/>
          </w:rPr>
          <w:t>5</w:t>
        </w:r>
        <w:r w:rsidR="00B214F9">
          <w:rPr>
            <w:rFonts w:asciiTheme="minorHAnsi" w:eastAsiaTheme="minorEastAsia" w:hAnsiTheme="minorHAnsi" w:cstheme="minorBidi"/>
            <w:b w:val="0"/>
            <w:bCs w:val="0"/>
            <w:caps w:val="0"/>
            <w:noProof/>
            <w:szCs w:val="22"/>
            <w:lang w:eastAsia="en-GB"/>
          </w:rPr>
          <w:tab/>
        </w:r>
        <w:r w:rsidR="00B214F9" w:rsidRPr="00D90EED">
          <w:rPr>
            <w:rStyle w:val="Hyperlink"/>
            <w:noProof/>
          </w:rPr>
          <w:t>Conclusions</w:t>
        </w:r>
        <w:r w:rsidR="00B214F9">
          <w:rPr>
            <w:noProof/>
            <w:webHidden/>
          </w:rPr>
          <w:tab/>
        </w:r>
        <w:r>
          <w:rPr>
            <w:noProof/>
            <w:webHidden/>
          </w:rPr>
          <w:fldChar w:fldCharType="begin"/>
        </w:r>
        <w:r w:rsidR="00B214F9">
          <w:rPr>
            <w:noProof/>
            <w:webHidden/>
          </w:rPr>
          <w:instrText xml:space="preserve"> PAGEREF _Toc243025522 \h </w:instrText>
        </w:r>
        <w:r>
          <w:rPr>
            <w:noProof/>
            <w:webHidden/>
          </w:rPr>
        </w:r>
        <w:r>
          <w:rPr>
            <w:noProof/>
            <w:webHidden/>
          </w:rPr>
          <w:fldChar w:fldCharType="separate"/>
        </w:r>
        <w:r w:rsidR="00E32AA8">
          <w:rPr>
            <w:noProof/>
            <w:webHidden/>
          </w:rPr>
          <w:t>5</w:t>
        </w:r>
        <w:r>
          <w:rPr>
            <w:noProof/>
            <w:webHidden/>
          </w:rPr>
          <w:fldChar w:fldCharType="end"/>
        </w:r>
      </w:hyperlink>
    </w:p>
    <w:p w:rsidR="00B214F9" w:rsidRDefault="009E327D">
      <w:pPr>
        <w:pStyle w:val="TOC5"/>
        <w:rPr>
          <w:rFonts w:asciiTheme="minorHAnsi" w:eastAsiaTheme="minorEastAsia" w:hAnsiTheme="minorHAnsi" w:cstheme="minorBidi"/>
          <w:b w:val="0"/>
          <w:caps w:val="0"/>
          <w:szCs w:val="22"/>
          <w:lang w:eastAsia="en-GB"/>
        </w:rPr>
      </w:pPr>
      <w:hyperlink w:anchor="_Toc243025523" w:history="1">
        <w:r w:rsidR="00B214F9" w:rsidRPr="00D90EED">
          <w:rPr>
            <w:rStyle w:val="Hyperlink"/>
          </w:rPr>
          <w:t>ANNEX 1</w:t>
        </w:r>
        <w:r w:rsidR="00B214F9">
          <w:rPr>
            <w:rFonts w:asciiTheme="minorHAnsi" w:eastAsiaTheme="minorEastAsia" w:hAnsiTheme="minorHAnsi" w:cstheme="minorBidi"/>
            <w:b w:val="0"/>
            <w:caps w:val="0"/>
            <w:szCs w:val="22"/>
            <w:lang w:eastAsia="en-GB"/>
          </w:rPr>
          <w:tab/>
        </w:r>
        <w:r w:rsidR="00B214F9" w:rsidRPr="00D90EED">
          <w:rPr>
            <w:rStyle w:val="Hyperlink"/>
          </w:rPr>
          <w:t>Examples of established VTSs beyond territorial seas</w:t>
        </w:r>
        <w:r w:rsidR="00B214F9">
          <w:rPr>
            <w:webHidden/>
          </w:rPr>
          <w:tab/>
        </w:r>
        <w:r>
          <w:rPr>
            <w:webHidden/>
          </w:rPr>
          <w:fldChar w:fldCharType="begin"/>
        </w:r>
        <w:r w:rsidR="00B214F9">
          <w:rPr>
            <w:webHidden/>
          </w:rPr>
          <w:instrText xml:space="preserve"> PAGEREF _Toc243025523 \h </w:instrText>
        </w:r>
        <w:r>
          <w:rPr>
            <w:webHidden/>
          </w:rPr>
        </w:r>
        <w:r>
          <w:rPr>
            <w:webHidden/>
          </w:rPr>
          <w:fldChar w:fldCharType="separate"/>
        </w:r>
        <w:r w:rsidR="00E32AA8">
          <w:rPr>
            <w:webHidden/>
          </w:rPr>
          <w:t>6</w:t>
        </w:r>
        <w:r>
          <w:rPr>
            <w:webHidden/>
          </w:rPr>
          <w:fldChar w:fldCharType="end"/>
        </w:r>
      </w:hyperlink>
    </w:p>
    <w:p w:rsidR="00B214F9" w:rsidRDefault="009E327D">
      <w:pPr>
        <w:pStyle w:val="TOC5"/>
        <w:rPr>
          <w:rFonts w:asciiTheme="minorHAnsi" w:eastAsiaTheme="minorEastAsia" w:hAnsiTheme="minorHAnsi" w:cstheme="minorBidi"/>
          <w:b w:val="0"/>
          <w:caps w:val="0"/>
          <w:szCs w:val="22"/>
          <w:lang w:eastAsia="en-GB"/>
        </w:rPr>
      </w:pPr>
      <w:hyperlink w:anchor="_Toc243025524" w:history="1">
        <w:r w:rsidR="00B214F9" w:rsidRPr="00D90EED">
          <w:rPr>
            <w:rStyle w:val="Hyperlink"/>
            <w:rFonts w:cs="Arial"/>
          </w:rPr>
          <w:t>ANNEX 2</w:t>
        </w:r>
        <w:r w:rsidR="00B214F9">
          <w:rPr>
            <w:rFonts w:asciiTheme="minorHAnsi" w:eastAsiaTheme="minorEastAsia" w:hAnsiTheme="minorHAnsi" w:cstheme="minorBidi"/>
            <w:b w:val="0"/>
            <w:caps w:val="0"/>
            <w:szCs w:val="22"/>
            <w:lang w:eastAsia="en-GB"/>
          </w:rPr>
          <w:tab/>
        </w:r>
        <w:r w:rsidR="00B214F9" w:rsidRPr="00D90EED">
          <w:rPr>
            <w:rStyle w:val="Hyperlink"/>
            <w:rFonts w:cs="Arial"/>
          </w:rPr>
          <w:t>PROCEDURES AND GUIDES for IMO APPROVAL</w:t>
        </w:r>
        <w:r w:rsidR="00B214F9">
          <w:rPr>
            <w:webHidden/>
          </w:rPr>
          <w:tab/>
        </w:r>
        <w:r>
          <w:rPr>
            <w:webHidden/>
          </w:rPr>
          <w:fldChar w:fldCharType="begin"/>
        </w:r>
        <w:r w:rsidR="00B214F9">
          <w:rPr>
            <w:webHidden/>
          </w:rPr>
          <w:instrText xml:space="preserve"> PAGEREF _Toc243025524 \h </w:instrText>
        </w:r>
        <w:r>
          <w:rPr>
            <w:webHidden/>
          </w:rPr>
        </w:r>
        <w:r>
          <w:rPr>
            <w:webHidden/>
          </w:rPr>
          <w:fldChar w:fldCharType="separate"/>
        </w:r>
        <w:r w:rsidR="00E32AA8">
          <w:rPr>
            <w:webHidden/>
          </w:rPr>
          <w:t>8</w:t>
        </w:r>
        <w:r>
          <w:rPr>
            <w:webHidden/>
          </w:rPr>
          <w:fldChar w:fldCharType="end"/>
        </w:r>
      </w:hyperlink>
    </w:p>
    <w:p w:rsidR="009E1230" w:rsidRPr="00125B75" w:rsidRDefault="009E327D" w:rsidP="00125B75">
      <w:pPr>
        <w:pStyle w:val="BlockText"/>
        <w:jc w:val="center"/>
        <w:rPr>
          <w:b/>
          <w:sz w:val="32"/>
          <w:szCs w:val="32"/>
        </w:rPr>
      </w:pPr>
      <w:r>
        <w:rPr>
          <w:b/>
          <w:caps/>
        </w:rPr>
        <w:fldChar w:fldCharType="end"/>
      </w:r>
      <w:r w:rsidR="00460028" w:rsidRPr="00371BEF">
        <w:br w:type="page"/>
      </w:r>
      <w:r w:rsidR="002F0B4C" w:rsidRPr="00125B75">
        <w:rPr>
          <w:b/>
          <w:sz w:val="32"/>
          <w:szCs w:val="32"/>
        </w:rPr>
        <w:lastRenderedPageBreak/>
        <w:t xml:space="preserve">Establishment of a Vessel Traffic Service </w:t>
      </w:r>
      <w:r w:rsidR="00E455AF">
        <w:rPr>
          <w:b/>
          <w:sz w:val="32"/>
          <w:szCs w:val="32"/>
        </w:rPr>
        <w:t>beyond Territorial Sea</w:t>
      </w:r>
      <w:r w:rsidR="002F0B4C" w:rsidRPr="00125B75">
        <w:rPr>
          <w:b/>
          <w:sz w:val="32"/>
          <w:szCs w:val="32"/>
        </w:rPr>
        <w:t>s</w:t>
      </w:r>
    </w:p>
    <w:p w:rsidR="006427BF" w:rsidRPr="002F0B4C" w:rsidRDefault="001A2B50" w:rsidP="00A14A4B">
      <w:pPr>
        <w:pStyle w:val="Heading1"/>
      </w:pPr>
      <w:bookmarkStart w:id="2" w:name="_Toc243025518"/>
      <w:r w:rsidRPr="002F0B4C">
        <w:t>Introduction</w:t>
      </w:r>
      <w:bookmarkEnd w:id="2"/>
    </w:p>
    <w:p w:rsidR="00A14A4B" w:rsidRPr="00C96D1A" w:rsidRDefault="004D6EF2" w:rsidP="00C96D1A">
      <w:pPr>
        <w:jc w:val="both"/>
      </w:pPr>
      <w:r w:rsidRPr="00C96D1A">
        <w:t>SOLAS Chapter V/12</w:t>
      </w:r>
      <w:r w:rsidR="003B5FFD">
        <w:t xml:space="preserve"> (Vessel Traffic Services)</w:t>
      </w:r>
      <w:r w:rsidRPr="00C96D1A">
        <w:t xml:space="preserve"> para</w:t>
      </w:r>
      <w:r w:rsidR="00125B75">
        <w:t>graph</w:t>
      </w:r>
      <w:r w:rsidRPr="00C96D1A">
        <w:t xml:space="preserve"> 3, specifically states</w:t>
      </w:r>
      <w:r w:rsidR="00E03AF5">
        <w:t xml:space="preserve"> that</w:t>
      </w:r>
      <w:r w:rsidRPr="00C96D1A">
        <w:t xml:space="preserve"> </w:t>
      </w:r>
      <w:r w:rsidR="00E03AF5">
        <w:rPr>
          <w:rFonts w:cs="Arial"/>
        </w:rPr>
        <w:t>‘</w:t>
      </w:r>
      <w:r w:rsidRPr="00C96D1A">
        <w:rPr>
          <w:rFonts w:cs="Arial"/>
          <w:i/>
        </w:rPr>
        <w:t>The use of VTS may only be made mandatory in sea areas within the territorial seas of a coastal state</w:t>
      </w:r>
      <w:r w:rsidRPr="00C96D1A">
        <w:rPr>
          <w:rFonts w:cs="Arial"/>
        </w:rPr>
        <w:t>.</w:t>
      </w:r>
      <w:r w:rsidR="00E03AF5">
        <w:rPr>
          <w:rFonts w:cs="Arial"/>
        </w:rPr>
        <w:t>’</w:t>
      </w:r>
      <w:r w:rsidR="004F41E7">
        <w:rPr>
          <w:rFonts w:cs="Arial"/>
        </w:rPr>
        <w:t xml:space="preserve"> </w:t>
      </w:r>
      <w:r w:rsidRPr="00C96D1A">
        <w:rPr>
          <w:rFonts w:cs="Arial"/>
        </w:rPr>
        <w:t xml:space="preserve"> However, instances have arisen where the need to </w:t>
      </w:r>
      <w:r w:rsidR="00641E01" w:rsidRPr="00B33DC9">
        <w:rPr>
          <w:rFonts w:cs="Arial"/>
        </w:rPr>
        <w:t>extend or</w:t>
      </w:r>
      <w:r w:rsidR="00641E01">
        <w:rPr>
          <w:rFonts w:cs="Arial"/>
        </w:rPr>
        <w:t xml:space="preserve"> </w:t>
      </w:r>
      <w:r w:rsidRPr="00C96D1A">
        <w:rPr>
          <w:rFonts w:cs="Arial"/>
        </w:rPr>
        <w:t xml:space="preserve">establish a VTS </w:t>
      </w:r>
      <w:r w:rsidR="00D84A88">
        <w:rPr>
          <w:rFonts w:cs="Arial"/>
        </w:rPr>
        <w:t>beyond territorial sea</w:t>
      </w:r>
      <w:r w:rsidRPr="00C96D1A">
        <w:rPr>
          <w:rFonts w:cs="Arial"/>
        </w:rPr>
        <w:t>s</w:t>
      </w:r>
      <w:r w:rsidR="00830CE9">
        <w:rPr>
          <w:rFonts w:cs="Arial"/>
        </w:rPr>
        <w:t xml:space="preserve"> </w:t>
      </w:r>
      <w:r w:rsidRPr="00C96D1A">
        <w:rPr>
          <w:rFonts w:cs="Arial"/>
        </w:rPr>
        <w:t xml:space="preserve">has been identified. </w:t>
      </w:r>
      <w:r w:rsidR="004F41E7">
        <w:rPr>
          <w:rFonts w:cs="Arial"/>
        </w:rPr>
        <w:t xml:space="preserve"> </w:t>
      </w:r>
      <w:r w:rsidRPr="00C96D1A">
        <w:rPr>
          <w:rFonts w:cs="Arial"/>
        </w:rPr>
        <w:t>This document provides guidance on how this may be achieved under current regulations which remain consistent with SOLAS Chapter V/12.</w:t>
      </w:r>
    </w:p>
    <w:p w:rsidR="006427BF" w:rsidRPr="002F0B4C" w:rsidRDefault="001A2B50" w:rsidP="00A14A4B">
      <w:pPr>
        <w:pStyle w:val="Heading1"/>
      </w:pPr>
      <w:bookmarkStart w:id="3" w:name="_Toc243025519"/>
      <w:r w:rsidRPr="002F0B4C">
        <w:t>Background</w:t>
      </w:r>
      <w:bookmarkEnd w:id="3"/>
    </w:p>
    <w:p w:rsidR="001A2B50" w:rsidRPr="002F0B4C" w:rsidRDefault="00777E27" w:rsidP="004A3893">
      <w:pPr>
        <w:pStyle w:val="BodyText"/>
        <w:rPr>
          <w:rFonts w:cs="Arial"/>
        </w:rPr>
      </w:pPr>
      <w:r>
        <w:rPr>
          <w:rFonts w:cs="Arial"/>
        </w:rPr>
        <w:t>Five</w:t>
      </w:r>
      <w:r w:rsidRPr="002F0B4C">
        <w:rPr>
          <w:rFonts w:cs="Arial"/>
        </w:rPr>
        <w:t xml:space="preserve"> </w:t>
      </w:r>
      <w:r w:rsidR="004D6EF2" w:rsidRPr="002F0B4C">
        <w:rPr>
          <w:rFonts w:cs="Arial"/>
        </w:rPr>
        <w:t>examples</w:t>
      </w:r>
      <w:r w:rsidR="00B33DC9">
        <w:rPr>
          <w:rFonts w:cs="Arial"/>
        </w:rPr>
        <w:t xml:space="preserve">, </w:t>
      </w:r>
      <w:r w:rsidR="00713E8D">
        <w:rPr>
          <w:rFonts w:cs="Arial"/>
        </w:rPr>
        <w:t>Great Belt VTS</w:t>
      </w:r>
      <w:r w:rsidR="00830CE9">
        <w:rPr>
          <w:rFonts w:cs="Arial"/>
        </w:rPr>
        <w:t xml:space="preserve"> (Denmark)</w:t>
      </w:r>
      <w:r w:rsidR="00713E8D">
        <w:rPr>
          <w:rFonts w:cs="Arial"/>
        </w:rPr>
        <w:t>, Sound VTS</w:t>
      </w:r>
      <w:r w:rsidR="00830CE9">
        <w:rPr>
          <w:rFonts w:cs="Arial"/>
        </w:rPr>
        <w:t xml:space="preserve"> (Denmark/Sweden)</w:t>
      </w:r>
      <w:r w:rsidR="00841B97">
        <w:rPr>
          <w:rFonts w:cs="Arial"/>
        </w:rPr>
        <w:t>,</w:t>
      </w:r>
      <w:r w:rsidR="00713E8D">
        <w:rPr>
          <w:rFonts w:cs="Arial"/>
        </w:rPr>
        <w:t xml:space="preserve"> Turkish Strait</w:t>
      </w:r>
      <w:r w:rsidR="00830CE9">
        <w:rPr>
          <w:rFonts w:cs="Arial"/>
        </w:rPr>
        <w:t>s</w:t>
      </w:r>
      <w:r w:rsidR="00713E8D">
        <w:rPr>
          <w:rFonts w:cs="Arial"/>
        </w:rPr>
        <w:t xml:space="preserve"> VTS</w:t>
      </w:r>
      <w:r>
        <w:rPr>
          <w:rFonts w:cs="Arial"/>
        </w:rPr>
        <w:t>, Off the coast of Portugal VTS (Portugal)</w:t>
      </w:r>
      <w:r w:rsidR="00841B97" w:rsidRPr="00841B97">
        <w:rPr>
          <w:rFonts w:cs="Arial"/>
        </w:rPr>
        <w:t xml:space="preserve"> </w:t>
      </w:r>
      <w:r w:rsidR="00841B97">
        <w:rPr>
          <w:rFonts w:cs="Arial"/>
        </w:rPr>
        <w:t>and Vardoe VTS</w:t>
      </w:r>
      <w:r w:rsidR="00830CE9">
        <w:rPr>
          <w:rFonts w:cs="Arial"/>
        </w:rPr>
        <w:t xml:space="preserve"> (Norway)</w:t>
      </w:r>
      <w:r w:rsidR="00B33DC9">
        <w:rPr>
          <w:rFonts w:cs="Arial"/>
        </w:rPr>
        <w:t>,</w:t>
      </w:r>
      <w:r w:rsidR="00713E8D">
        <w:rPr>
          <w:rFonts w:cs="Arial"/>
        </w:rPr>
        <w:t xml:space="preserve"> </w:t>
      </w:r>
      <w:r w:rsidR="004D6EF2" w:rsidRPr="002F0B4C">
        <w:rPr>
          <w:rFonts w:cs="Arial"/>
        </w:rPr>
        <w:t xml:space="preserve">have been identified in which </w:t>
      </w:r>
      <w:r w:rsidR="00C96D1A">
        <w:rPr>
          <w:rFonts w:cs="Arial"/>
        </w:rPr>
        <w:t xml:space="preserve">a </w:t>
      </w:r>
      <w:r w:rsidR="004D6EF2" w:rsidRPr="002F0B4C">
        <w:rPr>
          <w:rFonts w:cs="Arial"/>
        </w:rPr>
        <w:t xml:space="preserve">VTS </w:t>
      </w:r>
      <w:r w:rsidR="00C96D1A">
        <w:rPr>
          <w:rFonts w:cs="Arial"/>
        </w:rPr>
        <w:t xml:space="preserve">manages a Ship Reporting System </w:t>
      </w:r>
      <w:r w:rsidR="00B33DC9">
        <w:rPr>
          <w:rFonts w:cs="Arial"/>
        </w:rPr>
        <w:t xml:space="preserve">or </w:t>
      </w:r>
      <w:r>
        <w:rPr>
          <w:rFonts w:cs="Arial"/>
        </w:rPr>
        <w:t xml:space="preserve">monitors </w:t>
      </w:r>
      <w:r w:rsidR="00E0124C">
        <w:rPr>
          <w:rFonts w:cs="Arial"/>
        </w:rPr>
        <w:t xml:space="preserve">a </w:t>
      </w:r>
      <w:r w:rsidR="00B33DC9">
        <w:rPr>
          <w:rFonts w:cs="Arial"/>
        </w:rPr>
        <w:t>Traffic Separation Scheme</w:t>
      </w:r>
      <w:r>
        <w:rPr>
          <w:rFonts w:cs="Arial"/>
        </w:rPr>
        <w:t>,</w:t>
      </w:r>
      <w:r w:rsidR="00B33DC9">
        <w:rPr>
          <w:rFonts w:cs="Arial"/>
        </w:rPr>
        <w:t xml:space="preserve"> </w:t>
      </w:r>
      <w:r w:rsidRPr="002F0B4C">
        <w:rPr>
          <w:rFonts w:cs="Arial"/>
        </w:rPr>
        <w:t>approved by IMO</w:t>
      </w:r>
      <w:r>
        <w:rPr>
          <w:rFonts w:cs="Arial"/>
        </w:rPr>
        <w:t xml:space="preserve"> </w:t>
      </w:r>
      <w:r w:rsidR="006C2566">
        <w:rPr>
          <w:rFonts w:cs="Arial"/>
        </w:rPr>
        <w:t xml:space="preserve">and </w:t>
      </w:r>
      <w:r w:rsidR="00C96D1A">
        <w:rPr>
          <w:rFonts w:cs="Arial"/>
        </w:rPr>
        <w:t xml:space="preserve">that is </w:t>
      </w:r>
      <w:r w:rsidR="004D6EF2" w:rsidRPr="002F0B4C">
        <w:rPr>
          <w:rFonts w:cs="Arial"/>
        </w:rPr>
        <w:t xml:space="preserve">operating partially or solely </w:t>
      </w:r>
      <w:r w:rsidR="006C2566">
        <w:rPr>
          <w:rFonts w:cs="Arial"/>
        </w:rPr>
        <w:t>beyond territorial sea</w:t>
      </w:r>
      <w:r w:rsidR="004D6EF2" w:rsidRPr="002F0B4C">
        <w:rPr>
          <w:rFonts w:cs="Arial"/>
        </w:rPr>
        <w:t xml:space="preserve">s or in an international strait. </w:t>
      </w:r>
      <w:r w:rsidR="004F41E7">
        <w:rPr>
          <w:rFonts w:cs="Arial"/>
        </w:rPr>
        <w:t xml:space="preserve"> </w:t>
      </w:r>
      <w:r w:rsidR="004D6EF2" w:rsidRPr="002F0B4C">
        <w:rPr>
          <w:rFonts w:cs="Arial"/>
        </w:rPr>
        <w:t>Thes</w:t>
      </w:r>
      <w:r w:rsidR="00151627">
        <w:rPr>
          <w:rFonts w:cs="Arial"/>
        </w:rPr>
        <w:t xml:space="preserve">e examples are listed at </w:t>
      </w:r>
      <w:r w:rsidR="009E327D">
        <w:rPr>
          <w:rFonts w:cs="Arial"/>
        </w:rPr>
        <w:fldChar w:fldCharType="begin"/>
      </w:r>
      <w:r w:rsidR="003B5FFD">
        <w:rPr>
          <w:rFonts w:cs="Arial"/>
        </w:rPr>
        <w:instrText xml:space="preserve"> REF _Ref240950074 \r \h </w:instrText>
      </w:r>
      <w:r w:rsidR="009E327D">
        <w:rPr>
          <w:rFonts w:cs="Arial"/>
        </w:rPr>
      </w:r>
      <w:r w:rsidR="009E327D">
        <w:rPr>
          <w:rFonts w:cs="Arial"/>
        </w:rPr>
        <w:fldChar w:fldCharType="separate"/>
      </w:r>
      <w:r w:rsidR="00CA5776">
        <w:rPr>
          <w:rFonts w:cs="Arial"/>
        </w:rPr>
        <w:t>ANNEX 1</w:t>
      </w:r>
      <w:r w:rsidR="009E327D">
        <w:rPr>
          <w:rFonts w:cs="Arial"/>
        </w:rPr>
        <w:fldChar w:fldCharType="end"/>
      </w:r>
      <w:r w:rsidR="004D6EF2" w:rsidRPr="002F0B4C">
        <w:rPr>
          <w:rFonts w:cs="Arial"/>
        </w:rPr>
        <w:t>.</w:t>
      </w:r>
    </w:p>
    <w:p w:rsidR="00FD115B" w:rsidRDefault="00151627" w:rsidP="00FD115B">
      <w:pPr>
        <w:pStyle w:val="Heading1"/>
      </w:pPr>
      <w:bookmarkStart w:id="4" w:name="_Toc243025520"/>
      <w:r>
        <w:t>OPTIONS AVAILABLE</w:t>
      </w:r>
      <w:bookmarkEnd w:id="4"/>
    </w:p>
    <w:p w:rsidR="00151627" w:rsidRDefault="00FD115B" w:rsidP="00E03AF5">
      <w:pPr>
        <w:pStyle w:val="BodyText"/>
      </w:pPr>
      <w:r w:rsidRPr="005713C4">
        <w:t>From the examples</w:t>
      </w:r>
      <w:r w:rsidR="00830CE9">
        <w:t xml:space="preserve"> in </w:t>
      </w:r>
      <w:r w:rsidR="009E327D">
        <w:fldChar w:fldCharType="begin"/>
      </w:r>
      <w:r w:rsidR="003B5FFD">
        <w:instrText xml:space="preserve"> REF _Ref240949973 \r \h </w:instrText>
      </w:r>
      <w:r w:rsidR="009E327D">
        <w:fldChar w:fldCharType="separate"/>
      </w:r>
      <w:r w:rsidR="00CA5776">
        <w:t>ANNEX 1</w:t>
      </w:r>
      <w:r w:rsidR="009E327D">
        <w:fldChar w:fldCharType="end"/>
      </w:r>
      <w:r w:rsidR="00206F9A">
        <w:t>,</w:t>
      </w:r>
      <w:r w:rsidRPr="005713C4">
        <w:t xml:space="preserve"> the following methods have been identified which </w:t>
      </w:r>
      <w:r w:rsidR="00641E01" w:rsidRPr="00B33DC9">
        <w:t>provide</w:t>
      </w:r>
      <w:r w:rsidR="00641E01">
        <w:t xml:space="preserve"> </w:t>
      </w:r>
      <w:r w:rsidRPr="005713C4">
        <w:t xml:space="preserve">VTS </w:t>
      </w:r>
      <w:r w:rsidR="00D84A88">
        <w:t>beyond territorial sea</w:t>
      </w:r>
      <w:r w:rsidRPr="005713C4">
        <w:t xml:space="preserve">s </w:t>
      </w:r>
      <w:r w:rsidR="00B33DC9">
        <w:t xml:space="preserve">and </w:t>
      </w:r>
      <w:r w:rsidRPr="005713C4">
        <w:t>avoid conflict with SOLAS Chapter V/12:</w:t>
      </w:r>
    </w:p>
    <w:p w:rsidR="00151627" w:rsidRDefault="00FD115B" w:rsidP="00E03AF5">
      <w:pPr>
        <w:pStyle w:val="List1"/>
      </w:pPr>
      <w:r w:rsidRPr="008132FF">
        <w:rPr>
          <w:b/>
        </w:rPr>
        <w:t xml:space="preserve">Voluntary </w:t>
      </w:r>
      <w:r w:rsidR="008132FF" w:rsidRPr="008132FF">
        <w:rPr>
          <w:b/>
        </w:rPr>
        <w:t xml:space="preserve">use of </w:t>
      </w:r>
      <w:r w:rsidRPr="008132FF">
        <w:rPr>
          <w:b/>
        </w:rPr>
        <w:t>VTS.</w:t>
      </w:r>
      <w:r w:rsidRPr="005713C4">
        <w:t xml:space="preserve"> </w:t>
      </w:r>
      <w:r w:rsidR="006C2566">
        <w:t xml:space="preserve"> </w:t>
      </w:r>
      <w:r w:rsidRPr="005713C4">
        <w:t xml:space="preserve">SOLAS specifically relates to the establishment of a mandatory VTS. </w:t>
      </w:r>
      <w:r w:rsidR="006C2566">
        <w:t xml:space="preserve"> </w:t>
      </w:r>
      <w:r w:rsidRPr="005713C4">
        <w:t xml:space="preserve">There is no reason why a </w:t>
      </w:r>
      <w:r w:rsidR="00151627">
        <w:t>“</w:t>
      </w:r>
      <w:r w:rsidR="00151627" w:rsidRPr="005713C4">
        <w:t>voluntary VTS</w:t>
      </w:r>
      <w:r w:rsidR="00151627">
        <w:t>”</w:t>
      </w:r>
      <w:r w:rsidR="00151627" w:rsidRPr="005713C4">
        <w:t xml:space="preserve"> </w:t>
      </w:r>
      <w:r w:rsidRPr="005713C4">
        <w:t>should not be established if mandatory participation is not necessary</w:t>
      </w:r>
      <w:r w:rsidR="008132FF">
        <w:t xml:space="preserve">. </w:t>
      </w:r>
      <w:r w:rsidR="00125B75">
        <w:t xml:space="preserve"> </w:t>
      </w:r>
      <w:r w:rsidR="008132FF">
        <w:t xml:space="preserve">For example, </w:t>
      </w:r>
      <w:r w:rsidRPr="005713C4">
        <w:t xml:space="preserve">where full participation by vessel traffic is considered to be likely to meet the needs of the mariner or where subsequent mandatory participation can be exercised once a vessel moves into </w:t>
      </w:r>
      <w:r w:rsidR="006C2566">
        <w:t>territorial</w:t>
      </w:r>
      <w:r w:rsidR="006C2566" w:rsidRPr="005713C4">
        <w:t xml:space="preserve"> </w:t>
      </w:r>
      <w:r w:rsidRPr="005713C4">
        <w:t xml:space="preserve">waters. </w:t>
      </w:r>
      <w:r w:rsidR="00125B75">
        <w:t xml:space="preserve"> </w:t>
      </w:r>
      <w:r w:rsidRPr="005713C4">
        <w:t>This concept is the basis of the part of the Turkish Strait</w:t>
      </w:r>
      <w:r w:rsidR="00641E01">
        <w:t>s</w:t>
      </w:r>
      <w:r w:rsidRPr="005713C4">
        <w:t xml:space="preserve"> VTS that is </w:t>
      </w:r>
      <w:r w:rsidR="006C2566">
        <w:t>beyond territorial seas</w:t>
      </w:r>
      <w:r w:rsidRPr="005713C4">
        <w:t xml:space="preserve"> and </w:t>
      </w:r>
      <w:r w:rsidR="005307B0">
        <w:t>in</w:t>
      </w:r>
      <w:r w:rsidRPr="005713C4">
        <w:t xml:space="preserve"> the Sound</w:t>
      </w:r>
      <w:r w:rsidR="008132FF">
        <w:t xml:space="preserve"> VTS</w:t>
      </w:r>
      <w:r w:rsidR="006C2566">
        <w:t>, which is an international strait</w:t>
      </w:r>
      <w:r w:rsidR="008132FF">
        <w:t xml:space="preserve"> (</w:t>
      </w:r>
      <w:r w:rsidR="00151627">
        <w:t>s</w:t>
      </w:r>
      <w:r w:rsidR="008132FF">
        <w:t xml:space="preserve">ee </w:t>
      </w:r>
      <w:fldSimple w:instr=" REF _Ref240950091 \r \h  \* MERGEFORMAT ">
        <w:r w:rsidR="00CA5776">
          <w:t>ANNEX 1</w:t>
        </w:r>
      </w:fldSimple>
      <w:r w:rsidRPr="005713C4">
        <w:t>).</w:t>
      </w:r>
    </w:p>
    <w:p w:rsidR="002408A3" w:rsidRDefault="002408A3" w:rsidP="00E03AF5">
      <w:pPr>
        <w:pStyle w:val="List1"/>
      </w:pPr>
      <w:r w:rsidRPr="008132FF">
        <w:rPr>
          <w:b/>
        </w:rPr>
        <w:t>Approv</w:t>
      </w:r>
      <w:r>
        <w:rPr>
          <w:b/>
        </w:rPr>
        <w:t>al</w:t>
      </w:r>
      <w:r w:rsidRPr="008132FF">
        <w:rPr>
          <w:b/>
        </w:rPr>
        <w:t xml:space="preserve"> under the provision of SOLAS Chapter V/</w:t>
      </w:r>
      <w:r>
        <w:rPr>
          <w:b/>
        </w:rPr>
        <w:t>10</w:t>
      </w:r>
      <w:r w:rsidRPr="008132FF">
        <w:rPr>
          <w:b/>
        </w:rPr>
        <w:t xml:space="preserve"> (Ship</w:t>
      </w:r>
      <w:r w:rsidR="000160E1">
        <w:rPr>
          <w:b/>
        </w:rPr>
        <w:t>s</w:t>
      </w:r>
      <w:r w:rsidR="003B5FFD">
        <w:rPr>
          <w:b/>
        </w:rPr>
        <w:t>’</w:t>
      </w:r>
      <w:r w:rsidRPr="008132FF">
        <w:rPr>
          <w:b/>
        </w:rPr>
        <w:t xml:space="preserve"> </w:t>
      </w:r>
      <w:r>
        <w:rPr>
          <w:b/>
        </w:rPr>
        <w:t>Routeing</w:t>
      </w:r>
      <w:r w:rsidRPr="008132FF">
        <w:rPr>
          <w:b/>
        </w:rPr>
        <w:t>).</w:t>
      </w:r>
      <w:r w:rsidR="006C2566">
        <w:rPr>
          <w:b/>
        </w:rPr>
        <w:t xml:space="preserve"> </w:t>
      </w:r>
      <w:r w:rsidRPr="005713C4">
        <w:t xml:space="preserve"> Appli</w:t>
      </w:r>
      <w:r>
        <w:t xml:space="preserve">cation for a Ship Routeing </w:t>
      </w:r>
      <w:r w:rsidR="003B5FFD">
        <w:t>S</w:t>
      </w:r>
      <w:r>
        <w:t xml:space="preserve">ystem </w:t>
      </w:r>
      <w:r w:rsidRPr="005713C4">
        <w:t>may include reference to the m</w:t>
      </w:r>
      <w:r>
        <w:t>onitoring</w:t>
      </w:r>
      <w:r w:rsidRPr="005713C4">
        <w:t xml:space="preserve"> of the scheme being exercised through a VTS. </w:t>
      </w:r>
      <w:r w:rsidR="00125B75">
        <w:t xml:space="preserve"> </w:t>
      </w:r>
      <w:r w:rsidRPr="005713C4">
        <w:t xml:space="preserve">This process has been effectively utilised in the establishment of the </w:t>
      </w:r>
      <w:r>
        <w:t>Vardoe TSS</w:t>
      </w:r>
      <w:r w:rsidRPr="005713C4">
        <w:t xml:space="preserve"> (see </w:t>
      </w:r>
      <w:fldSimple w:instr=" REF _Ref240950109 \r \h  \* MERGEFORMAT ">
        <w:r w:rsidR="00CA5776">
          <w:t>ANNEX 1</w:t>
        </w:r>
      </w:fldSimple>
      <w:r w:rsidRPr="005713C4">
        <w:t xml:space="preserve">). </w:t>
      </w:r>
      <w:r w:rsidR="00125B75">
        <w:t xml:space="preserve"> </w:t>
      </w:r>
      <w:r w:rsidRPr="005713C4">
        <w:t xml:space="preserve">Such applications are made through IMO using the procedures set out in General Provisions </w:t>
      </w:r>
      <w:r w:rsidR="000160E1">
        <w:t>on</w:t>
      </w:r>
      <w:r w:rsidR="000160E1" w:rsidRPr="005713C4">
        <w:t xml:space="preserve"> </w:t>
      </w:r>
      <w:r w:rsidRPr="005713C4">
        <w:t>Ship</w:t>
      </w:r>
      <w:r w:rsidR="003B5FFD">
        <w:t xml:space="preserve">s’ </w:t>
      </w:r>
      <w:r w:rsidR="003B5FFD" w:rsidRPr="005713C4">
        <w:t>R</w:t>
      </w:r>
      <w:r w:rsidR="003B5FFD">
        <w:t>outeing</w:t>
      </w:r>
      <w:r w:rsidR="003B5FFD" w:rsidRPr="005713C4">
        <w:t xml:space="preserve"> </w:t>
      </w:r>
      <w:r w:rsidRPr="005713C4">
        <w:t>(GPSR) and typically take some 18-24 months for approval to be achieved</w:t>
      </w:r>
      <w:r>
        <w:t xml:space="preserve"> (see Annex</w:t>
      </w:r>
      <w:r w:rsidRPr="002F0B4C">
        <w:t xml:space="preserve"> 2)</w:t>
      </w:r>
      <w:r>
        <w:t>.</w:t>
      </w:r>
    </w:p>
    <w:p w:rsidR="00CC1D5F" w:rsidRDefault="00FD115B" w:rsidP="00E03AF5">
      <w:pPr>
        <w:pStyle w:val="List1"/>
      </w:pPr>
      <w:r w:rsidRPr="008132FF">
        <w:rPr>
          <w:b/>
        </w:rPr>
        <w:t>Approv</w:t>
      </w:r>
      <w:r w:rsidR="00151627">
        <w:rPr>
          <w:b/>
        </w:rPr>
        <w:t>al</w:t>
      </w:r>
      <w:r w:rsidRPr="008132FF">
        <w:rPr>
          <w:b/>
        </w:rPr>
        <w:t xml:space="preserve"> under the provision of SOLAS Chapter V/11 (Ship Reporting System).</w:t>
      </w:r>
      <w:r w:rsidR="000160E1">
        <w:rPr>
          <w:b/>
        </w:rPr>
        <w:t xml:space="preserve"> </w:t>
      </w:r>
      <w:r w:rsidRPr="005713C4">
        <w:t xml:space="preserve"> Application for a Ship Reporting System may include reference to the management of the </w:t>
      </w:r>
      <w:r w:rsidR="00F832A9">
        <w:t>system</w:t>
      </w:r>
      <w:r w:rsidRPr="005713C4">
        <w:t xml:space="preserve"> being exercised through a VTS</w:t>
      </w:r>
      <w:r w:rsidR="000160E1">
        <w:t xml:space="preserve"> Centre</w:t>
      </w:r>
      <w:r w:rsidRPr="005713C4">
        <w:t xml:space="preserve">. </w:t>
      </w:r>
      <w:r w:rsidR="00125B75">
        <w:t xml:space="preserve"> </w:t>
      </w:r>
      <w:r w:rsidRPr="005713C4">
        <w:t>This process has been effectively utilised in the establishment of the Great Belt VTS (</w:t>
      </w:r>
      <w:fldSimple w:instr=" REF _Ref240950122 \r \h  \* MERGEFORMAT ">
        <w:r w:rsidR="00CA5776">
          <w:t>ANNEX 1</w:t>
        </w:r>
      </w:fldSimple>
      <w:r w:rsidRPr="005713C4">
        <w:t xml:space="preserve">). </w:t>
      </w:r>
      <w:r w:rsidR="00125B75">
        <w:t xml:space="preserve"> </w:t>
      </w:r>
      <w:r w:rsidRPr="005713C4">
        <w:t xml:space="preserve">Such applications are made through IMO using the procedures set out in General Provisions </w:t>
      </w:r>
      <w:r w:rsidR="000160E1" w:rsidRPr="005713C4">
        <w:t>o</w:t>
      </w:r>
      <w:r w:rsidR="000160E1">
        <w:t xml:space="preserve">n </w:t>
      </w:r>
      <w:r w:rsidRPr="005713C4">
        <w:t>Ship</w:t>
      </w:r>
      <w:r w:rsidR="003B5FFD">
        <w:t>s’</w:t>
      </w:r>
      <w:r w:rsidRPr="005713C4">
        <w:t xml:space="preserve"> </w:t>
      </w:r>
      <w:r w:rsidR="003B5FFD" w:rsidRPr="005713C4">
        <w:t>R</w:t>
      </w:r>
      <w:r w:rsidR="003B5FFD">
        <w:t>oute</w:t>
      </w:r>
      <w:r w:rsidR="003B5FFD" w:rsidRPr="005713C4">
        <w:t xml:space="preserve">ing </w:t>
      </w:r>
      <w:r w:rsidRPr="005713C4">
        <w:t>(GPSR) and typically take some 18-24 months for approval to be achieved</w:t>
      </w:r>
      <w:r w:rsidR="002915F1">
        <w:t xml:space="preserve"> (see </w:t>
      </w:r>
      <w:fldSimple w:instr=" REF _Ref240949991 \r \h  \* MERGEFORMAT ">
        <w:r w:rsidR="00CA5776">
          <w:t>ANNEX 2</w:t>
        </w:r>
      </w:fldSimple>
      <w:r w:rsidR="002915F1" w:rsidRPr="002F0B4C">
        <w:t>)</w:t>
      </w:r>
      <w:r w:rsidR="008F725C">
        <w:t>.</w:t>
      </w:r>
    </w:p>
    <w:p w:rsidR="00FD115B" w:rsidRPr="00FD115B" w:rsidRDefault="00FD115B" w:rsidP="00FD115B">
      <w:pPr>
        <w:pStyle w:val="Heading1"/>
      </w:pPr>
      <w:bookmarkStart w:id="5" w:name="_Toc243025521"/>
      <w:r>
        <w:t>typeS OF SERVICE</w:t>
      </w:r>
      <w:bookmarkEnd w:id="5"/>
    </w:p>
    <w:p w:rsidR="001A2B50" w:rsidRPr="00FD115B" w:rsidRDefault="00FD115B" w:rsidP="00371BEF">
      <w:pPr>
        <w:pStyle w:val="BodyText"/>
        <w:rPr>
          <w:rFonts w:cs="Arial"/>
          <w:lang w:eastAsia="de-DE"/>
        </w:rPr>
      </w:pPr>
      <w:r w:rsidRPr="00FD115B">
        <w:rPr>
          <w:rFonts w:cs="Arial"/>
        </w:rPr>
        <w:t>Where a VTS is established utilising these methods</w:t>
      </w:r>
      <w:r w:rsidR="00713E8D">
        <w:rPr>
          <w:rFonts w:cs="Arial"/>
        </w:rPr>
        <w:t>,</w:t>
      </w:r>
      <w:r w:rsidRPr="00FD115B">
        <w:rPr>
          <w:rFonts w:cs="Arial"/>
        </w:rPr>
        <w:t xml:space="preserve"> careful consideration should be given to the type of service that is to be provided. </w:t>
      </w:r>
      <w:r w:rsidR="00125B75">
        <w:rPr>
          <w:rFonts w:cs="Arial"/>
        </w:rPr>
        <w:t xml:space="preserve"> </w:t>
      </w:r>
      <w:r w:rsidRPr="00FD115B">
        <w:rPr>
          <w:rFonts w:cs="Arial"/>
        </w:rPr>
        <w:t xml:space="preserve">An Information Service (INS) will always be appropriate </w:t>
      </w:r>
      <w:r w:rsidR="002D7E08">
        <w:rPr>
          <w:rFonts w:cs="Arial"/>
        </w:rPr>
        <w:t xml:space="preserve">for a VTS, </w:t>
      </w:r>
      <w:r w:rsidRPr="00FD115B">
        <w:rPr>
          <w:rFonts w:cs="Arial"/>
        </w:rPr>
        <w:t>but the provision of a Traffic Organisation Service (TOS) and/or a Navigational Assistance Service (NAS)</w:t>
      </w:r>
      <w:r w:rsidR="000160E1">
        <w:rPr>
          <w:rFonts w:cs="Arial"/>
        </w:rPr>
        <w:t>, when deemed necessary by the VTS,</w:t>
      </w:r>
      <w:r w:rsidRPr="00FD115B">
        <w:rPr>
          <w:rFonts w:cs="Arial"/>
        </w:rPr>
        <w:t xml:space="preserve"> should take into account the implications of non-compliance particularly where compliance with the VTS is on a voluntary basis</w:t>
      </w:r>
      <w:r w:rsidR="00B95C78">
        <w:rPr>
          <w:rFonts w:cs="Arial"/>
        </w:rPr>
        <w:t xml:space="preserve"> (see IALA VTS Manual for definitions)</w:t>
      </w:r>
      <w:r w:rsidRPr="00FD115B">
        <w:rPr>
          <w:rFonts w:cs="Arial"/>
        </w:rPr>
        <w:t xml:space="preserve">. </w:t>
      </w:r>
      <w:r w:rsidR="00125B75">
        <w:rPr>
          <w:rFonts w:cs="Arial"/>
        </w:rPr>
        <w:t xml:space="preserve"> </w:t>
      </w:r>
      <w:r w:rsidRPr="00FD115B">
        <w:rPr>
          <w:rFonts w:cs="Arial"/>
        </w:rPr>
        <w:t>The legal basis and liability should also be considered</w:t>
      </w:r>
      <w:r w:rsidR="00B95C78">
        <w:rPr>
          <w:rFonts w:cs="Arial"/>
        </w:rPr>
        <w:t>.</w:t>
      </w:r>
    </w:p>
    <w:p w:rsidR="001A2B50" w:rsidRPr="002F0B4C" w:rsidRDefault="001A2B50" w:rsidP="00A14A4B">
      <w:pPr>
        <w:pStyle w:val="Heading1"/>
      </w:pPr>
      <w:bookmarkStart w:id="6" w:name="_Toc243025522"/>
      <w:r w:rsidRPr="002F0B4C">
        <w:lastRenderedPageBreak/>
        <w:t>Conclusions</w:t>
      </w:r>
      <w:bookmarkEnd w:id="6"/>
    </w:p>
    <w:p w:rsidR="004D6EF2" w:rsidRDefault="00713E8D" w:rsidP="004D6EF2">
      <w:pPr>
        <w:spacing w:before="240"/>
        <w:jc w:val="both"/>
        <w:rPr>
          <w:rFonts w:cs="Arial"/>
        </w:rPr>
      </w:pPr>
      <w:r>
        <w:rPr>
          <w:rFonts w:cs="Arial"/>
        </w:rPr>
        <w:t>Authorities</w:t>
      </w:r>
      <w:r w:rsidRPr="002F0B4C">
        <w:rPr>
          <w:rFonts w:cs="Arial"/>
        </w:rPr>
        <w:t xml:space="preserve"> </w:t>
      </w:r>
      <w:r w:rsidR="004D6EF2" w:rsidRPr="002F0B4C">
        <w:rPr>
          <w:rFonts w:cs="Arial"/>
        </w:rPr>
        <w:t>identifying the need to establish</w:t>
      </w:r>
      <w:r w:rsidR="000160E1">
        <w:rPr>
          <w:rFonts w:cs="Arial"/>
        </w:rPr>
        <w:t xml:space="preserve"> or extend</w:t>
      </w:r>
      <w:r w:rsidR="004D6EF2" w:rsidRPr="002F0B4C">
        <w:rPr>
          <w:rFonts w:cs="Arial"/>
        </w:rPr>
        <w:t xml:space="preserve"> a VTS </w:t>
      </w:r>
      <w:r w:rsidR="00D84A88">
        <w:rPr>
          <w:rFonts w:cs="Arial"/>
        </w:rPr>
        <w:t>beyond territorial sea</w:t>
      </w:r>
      <w:r w:rsidR="004D6EF2" w:rsidRPr="002F0B4C">
        <w:rPr>
          <w:rFonts w:cs="Arial"/>
        </w:rPr>
        <w:t>s</w:t>
      </w:r>
      <w:r w:rsidR="000160E1">
        <w:rPr>
          <w:rFonts w:cs="Arial"/>
        </w:rPr>
        <w:t>,</w:t>
      </w:r>
      <w:r w:rsidR="004D6EF2" w:rsidRPr="002F0B4C">
        <w:rPr>
          <w:rFonts w:cs="Arial"/>
        </w:rPr>
        <w:t xml:space="preserve"> either individually or on a multi-national basis</w:t>
      </w:r>
      <w:r w:rsidR="000160E1">
        <w:rPr>
          <w:rFonts w:cs="Arial"/>
        </w:rPr>
        <w:t>,</w:t>
      </w:r>
      <w:r w:rsidR="004D6EF2" w:rsidRPr="002F0B4C">
        <w:rPr>
          <w:rFonts w:cs="Arial"/>
        </w:rPr>
        <w:t xml:space="preserve"> should note that this can only be achieved under current regulatio</w:t>
      </w:r>
      <w:r w:rsidR="002915F1">
        <w:rPr>
          <w:rFonts w:cs="Arial"/>
        </w:rPr>
        <w:t>n through the establishment of</w:t>
      </w:r>
      <w:r w:rsidR="004D6EF2" w:rsidRPr="002F0B4C">
        <w:rPr>
          <w:rFonts w:cs="Arial"/>
        </w:rPr>
        <w:t xml:space="preserve"> voluntary</w:t>
      </w:r>
      <w:r w:rsidR="002915F1">
        <w:rPr>
          <w:rFonts w:cs="Arial"/>
        </w:rPr>
        <w:t xml:space="preserve"> use of</w:t>
      </w:r>
      <w:r w:rsidR="004D6EF2" w:rsidRPr="002F0B4C">
        <w:rPr>
          <w:rFonts w:cs="Arial"/>
        </w:rPr>
        <w:t xml:space="preserve"> VTS or a VTS that is part of, and in support of, a Shi</w:t>
      </w:r>
      <w:r w:rsidR="002915F1">
        <w:rPr>
          <w:rFonts w:cs="Arial"/>
        </w:rPr>
        <w:t>p Reporting System.</w:t>
      </w:r>
    </w:p>
    <w:p w:rsidR="00D45AE6" w:rsidRPr="002F0B4C" w:rsidRDefault="00D45AE6" w:rsidP="004D6EF2">
      <w:pPr>
        <w:spacing w:before="240"/>
        <w:jc w:val="both"/>
        <w:rPr>
          <w:rFonts w:cs="Arial"/>
        </w:rPr>
      </w:pPr>
      <w:r>
        <w:rPr>
          <w:rFonts w:cs="Arial"/>
        </w:rPr>
        <w:t>However, the approach has resulted in disparate solutions to a common problem.  This disparity may lead to confusion on the part of the mariner as to his / her obligations while navigating in these areas and his / her expectations as to what services, if any, to expect from the shoreside authority.</w:t>
      </w:r>
      <w:r w:rsidR="00E45C6D">
        <w:rPr>
          <w:rFonts w:cs="Arial"/>
        </w:rPr>
        <w:t xml:space="preserve">  </w:t>
      </w:r>
      <w:r w:rsidR="00E45C6D">
        <w:rPr>
          <w:szCs w:val="22"/>
        </w:rPr>
        <w:t>It is the view of IALA that this is an undesirable situation and that the aim should, therefore, be to establish an agreed mechanism for the approval of a VTS beyond territorial seas in its own right and not just in association with a ship reporting system.</w:t>
      </w:r>
    </w:p>
    <w:p w:rsidR="001A2B50" w:rsidRPr="002F0B4C" w:rsidRDefault="004D6EF2" w:rsidP="004D6EF2">
      <w:pPr>
        <w:spacing w:before="240"/>
        <w:jc w:val="both"/>
        <w:rPr>
          <w:rFonts w:cs="Arial"/>
          <w:lang w:eastAsia="de-DE"/>
        </w:rPr>
      </w:pPr>
      <w:r w:rsidRPr="002F0B4C">
        <w:rPr>
          <w:rFonts w:cs="Arial"/>
        </w:rPr>
        <w:t xml:space="preserve">The possibility of amending </w:t>
      </w:r>
      <w:r w:rsidR="00E45C6D">
        <w:rPr>
          <w:rFonts w:cs="Arial"/>
        </w:rPr>
        <w:t xml:space="preserve">the </w:t>
      </w:r>
      <w:r w:rsidRPr="002F0B4C">
        <w:rPr>
          <w:rFonts w:cs="Arial"/>
        </w:rPr>
        <w:t xml:space="preserve">existing </w:t>
      </w:r>
      <w:r w:rsidR="00E45C6D">
        <w:rPr>
          <w:rFonts w:cs="Arial"/>
        </w:rPr>
        <w:t>framework</w:t>
      </w:r>
      <w:r w:rsidR="00E45C6D" w:rsidRPr="002F0B4C">
        <w:rPr>
          <w:rFonts w:cs="Arial"/>
        </w:rPr>
        <w:t xml:space="preserve"> </w:t>
      </w:r>
      <w:r w:rsidRPr="002F0B4C">
        <w:rPr>
          <w:rFonts w:cs="Arial"/>
        </w:rPr>
        <w:t xml:space="preserve">to broaden the application of VTS </w:t>
      </w:r>
      <w:r w:rsidR="00D84A88">
        <w:rPr>
          <w:rFonts w:cs="Arial"/>
        </w:rPr>
        <w:t>beyond territorial sea</w:t>
      </w:r>
      <w:r w:rsidRPr="002F0B4C">
        <w:rPr>
          <w:rFonts w:cs="Arial"/>
        </w:rPr>
        <w:t xml:space="preserve">s </w:t>
      </w:r>
      <w:r w:rsidR="00E45C6D">
        <w:rPr>
          <w:rFonts w:cs="Arial"/>
        </w:rPr>
        <w:t>should</w:t>
      </w:r>
      <w:r w:rsidR="00E45C6D" w:rsidRPr="002F0B4C">
        <w:rPr>
          <w:rFonts w:cs="Arial"/>
        </w:rPr>
        <w:t xml:space="preserve"> </w:t>
      </w:r>
      <w:r w:rsidRPr="002F0B4C">
        <w:rPr>
          <w:rFonts w:cs="Arial"/>
        </w:rPr>
        <w:t>be investigate</w:t>
      </w:r>
      <w:r w:rsidR="002915F1">
        <w:rPr>
          <w:rFonts w:cs="Arial"/>
        </w:rPr>
        <w:t>d</w:t>
      </w:r>
      <w:r w:rsidRPr="002F0B4C">
        <w:rPr>
          <w:rFonts w:cs="Arial"/>
        </w:rPr>
        <w:t xml:space="preserve"> in the longer term</w:t>
      </w:r>
      <w:r w:rsidR="002F0B4C" w:rsidRPr="002F0B4C">
        <w:rPr>
          <w:rFonts w:cs="Arial"/>
        </w:rPr>
        <w:t>.</w:t>
      </w:r>
    </w:p>
    <w:p w:rsidR="003C6459" w:rsidRDefault="001A2B50" w:rsidP="003C6459">
      <w:pPr>
        <w:pStyle w:val="Annex"/>
      </w:pPr>
      <w:r w:rsidRPr="00371BEF">
        <w:br w:type="page"/>
      </w:r>
      <w:bookmarkStart w:id="7" w:name="_Ref240949973"/>
      <w:bookmarkStart w:id="8" w:name="_Ref240950074"/>
      <w:bookmarkStart w:id="9" w:name="_Ref240950091"/>
      <w:bookmarkStart w:id="10" w:name="_Ref240950109"/>
      <w:bookmarkStart w:id="11" w:name="_Ref240950122"/>
      <w:bookmarkStart w:id="12" w:name="_Toc243025523"/>
      <w:r w:rsidR="003C6459">
        <w:lastRenderedPageBreak/>
        <w:t xml:space="preserve">Examples of </w:t>
      </w:r>
      <w:r w:rsidR="008B6CF0">
        <w:t xml:space="preserve">established </w:t>
      </w:r>
      <w:r w:rsidR="003C6459">
        <w:t>VTS</w:t>
      </w:r>
      <w:r w:rsidR="001364D7" w:rsidRPr="001364D7">
        <w:rPr>
          <w:caps w:val="0"/>
        </w:rPr>
        <w:t>s</w:t>
      </w:r>
      <w:r w:rsidR="003C6459">
        <w:t xml:space="preserve"> </w:t>
      </w:r>
      <w:r w:rsidR="00D84A88">
        <w:t>beyond territorial sea</w:t>
      </w:r>
      <w:r w:rsidR="003C6459">
        <w:t>s</w:t>
      </w:r>
      <w:bookmarkEnd w:id="7"/>
      <w:bookmarkEnd w:id="8"/>
      <w:bookmarkEnd w:id="9"/>
      <w:bookmarkEnd w:id="10"/>
      <w:bookmarkEnd w:id="11"/>
      <w:bookmarkEnd w:id="12"/>
    </w:p>
    <w:p w:rsidR="00BE2A90" w:rsidRDefault="003C6459" w:rsidP="00125B75">
      <w:pPr>
        <w:pStyle w:val="AnnexHead1"/>
      </w:pPr>
      <w:r>
        <w:t>G</w:t>
      </w:r>
      <w:r w:rsidR="00FB60FF" w:rsidRPr="00B26542">
        <w:t xml:space="preserve">reat Belt </w:t>
      </w:r>
      <w:r w:rsidR="00083D1E">
        <w:t>VTS</w:t>
      </w:r>
      <w:r w:rsidR="00FB60FF" w:rsidRPr="00B26542">
        <w:t xml:space="preserve"> (Denmark)</w:t>
      </w:r>
    </w:p>
    <w:p w:rsidR="007975E2" w:rsidRPr="00A34080" w:rsidRDefault="001364D7" w:rsidP="00BE2A90">
      <w:pPr>
        <w:pStyle w:val="BodyText"/>
        <w:rPr>
          <w:rFonts w:cs="Arial"/>
        </w:rPr>
      </w:pPr>
      <w:r w:rsidRPr="001364D7">
        <w:rPr>
          <w:rFonts w:cs="Arial"/>
        </w:rPr>
        <w:t xml:space="preserve">This international strait uses a mandatory Ship Reporting System and Traffic Separation Scheme, under the authority of IMO Resolution MSC.230(82). </w:t>
      </w:r>
      <w:r w:rsidR="00125B75">
        <w:rPr>
          <w:rFonts w:cs="Arial"/>
        </w:rPr>
        <w:t xml:space="preserve"> </w:t>
      </w:r>
      <w:r w:rsidRPr="001364D7">
        <w:rPr>
          <w:rFonts w:cs="Arial"/>
        </w:rPr>
        <w:t>The objective of Great Belt VTS is to facilitate the exchange of information between the shipping and the shore in order to ensure safe passages of the bridges, support safety of navigation and protection of the marine environment.</w:t>
      </w:r>
    </w:p>
    <w:p w:rsidR="00BE2A90" w:rsidRPr="00A34080" w:rsidRDefault="001364D7" w:rsidP="00BE2A90">
      <w:pPr>
        <w:pStyle w:val="BodyText"/>
        <w:rPr>
          <w:rFonts w:cs="Arial"/>
          <w:b/>
          <w:caps/>
        </w:rPr>
      </w:pPr>
      <w:r w:rsidRPr="001364D7">
        <w:rPr>
          <w:rFonts w:cs="Arial"/>
        </w:rPr>
        <w:t>A</w:t>
      </w:r>
      <w:r w:rsidR="00A34080">
        <w:rPr>
          <w:rFonts w:cs="Arial"/>
        </w:rPr>
        <w:t xml:space="preserve"> VTS is used to manage this ship reporting system by means of </w:t>
      </w:r>
      <w:r w:rsidR="00683B86">
        <w:rPr>
          <w:rFonts w:cs="Arial"/>
        </w:rPr>
        <w:t>an Information Service (INS)</w:t>
      </w:r>
      <w:r w:rsidR="00A34080">
        <w:rPr>
          <w:rFonts w:cs="Arial"/>
        </w:rPr>
        <w:t>.</w:t>
      </w:r>
      <w:r w:rsidR="000160E1">
        <w:rPr>
          <w:rFonts w:cs="Arial"/>
        </w:rPr>
        <w:t xml:space="preserve">  </w:t>
      </w:r>
      <w:r w:rsidRPr="001364D7">
        <w:rPr>
          <w:rFonts w:cs="Arial"/>
        </w:rPr>
        <w:t>If necessary this VTS can provide individual information to a ship particularly in relation to positioning and navigational assistance or local conditions.</w:t>
      </w:r>
    </w:p>
    <w:p w:rsidR="00B4071E" w:rsidRPr="00A34080" w:rsidRDefault="001364D7" w:rsidP="00BE2A90">
      <w:pPr>
        <w:pStyle w:val="BodyText"/>
        <w:rPr>
          <w:rFonts w:cs="Arial"/>
        </w:rPr>
      </w:pPr>
      <w:r w:rsidRPr="001364D7">
        <w:rPr>
          <w:rFonts w:cs="Arial"/>
        </w:rPr>
        <w:t>This system enables the efficient monitoring and improved safety and better pollution prevention as shown from comparing statistics before and after implementation.</w:t>
      </w:r>
      <w:r w:rsidR="00125B75">
        <w:rPr>
          <w:rFonts w:cs="Arial"/>
        </w:rPr>
        <w:t xml:space="preserve"> </w:t>
      </w:r>
      <w:r w:rsidRPr="001364D7">
        <w:rPr>
          <w:rFonts w:cs="Arial"/>
        </w:rPr>
        <w:t xml:space="preserve"> For further information see </w:t>
      </w:r>
      <w:hyperlink r:id="rId11" w:history="1">
        <w:r w:rsidR="00125B75" w:rsidRPr="00B77E12">
          <w:rPr>
            <w:rStyle w:val="Hyperlink"/>
            <w:rFonts w:cs="Arial"/>
          </w:rPr>
          <w:t>www.beltrep.org</w:t>
        </w:r>
      </w:hyperlink>
      <w:r w:rsidRPr="001364D7">
        <w:rPr>
          <w:rFonts w:cs="Arial"/>
        </w:rPr>
        <w:t>.</w:t>
      </w:r>
    </w:p>
    <w:p w:rsidR="00BE2A90" w:rsidRDefault="00FB60FF" w:rsidP="00125B75">
      <w:pPr>
        <w:pStyle w:val="AnnexHead1"/>
      </w:pPr>
      <w:r w:rsidRPr="00B4071E">
        <w:t>Sound VTS (Sweden/Denmark)</w:t>
      </w:r>
    </w:p>
    <w:p w:rsidR="005307B0" w:rsidRDefault="00FB60FF" w:rsidP="005307B0">
      <w:pPr>
        <w:pStyle w:val="BodyText"/>
      </w:pPr>
      <w:r w:rsidRPr="00B4071E">
        <w:t xml:space="preserve">This system is similar to the Great Belt VTS but operates on a voluntary basis. </w:t>
      </w:r>
      <w:r w:rsidR="000160E1">
        <w:t xml:space="preserve"> </w:t>
      </w:r>
      <w:r w:rsidRPr="00B4071E">
        <w:t>Although this system is not mandatory it experiences 97% compliance from vessels due to the benefits received regarding efficient traffic movement.</w:t>
      </w:r>
      <w:r w:rsidR="005307B0">
        <w:t xml:space="preserve"> </w:t>
      </w:r>
      <w:r w:rsidR="00125B75">
        <w:t xml:space="preserve"> </w:t>
      </w:r>
      <w:r w:rsidR="005307B0">
        <w:t xml:space="preserve">For further information see </w:t>
      </w:r>
      <w:hyperlink r:id="rId12" w:history="1">
        <w:r w:rsidR="005143AB" w:rsidRPr="008C0FA5">
          <w:rPr>
            <w:rStyle w:val="Hyperlink"/>
          </w:rPr>
          <w:t>www.soundvts.se</w:t>
        </w:r>
      </w:hyperlink>
      <w:r w:rsidR="005307B0">
        <w:t>.</w:t>
      </w:r>
    </w:p>
    <w:p w:rsidR="00BE2A90" w:rsidRDefault="00FB60FF" w:rsidP="00125B75">
      <w:pPr>
        <w:pStyle w:val="AnnexHead1"/>
      </w:pPr>
      <w:r w:rsidRPr="00B4071E">
        <w:t>Turkish Straits VTS</w:t>
      </w:r>
    </w:p>
    <w:p w:rsidR="00BE2A90" w:rsidRPr="00125B75" w:rsidRDefault="00FB60FF" w:rsidP="00125B75">
      <w:pPr>
        <w:pStyle w:val="BodyText"/>
      </w:pPr>
      <w:r w:rsidRPr="00125B75">
        <w:t xml:space="preserve">The international waters at the extremity of the Turkish Straits VTS area experiences significant traffic congestion and the VTS has implemented a slot management system to organise ships entering the Turkish Straits. </w:t>
      </w:r>
      <w:r w:rsidR="00125B75">
        <w:t xml:space="preserve"> </w:t>
      </w:r>
      <w:r w:rsidRPr="00125B75">
        <w:t>A Ship Reporting System and Traffic Separation Scheme ha</w:t>
      </w:r>
      <w:r w:rsidR="00BF2E27" w:rsidRPr="00125B75">
        <w:t>ve</w:t>
      </w:r>
      <w:r w:rsidRPr="00125B75">
        <w:t xml:space="preserve"> been implemented to advise vessel</w:t>
      </w:r>
      <w:r w:rsidR="00AA304C" w:rsidRPr="00125B75">
        <w:t>s</w:t>
      </w:r>
      <w:r w:rsidRPr="00125B75">
        <w:t xml:space="preserve"> intending to enter the Turkish Straits</w:t>
      </w:r>
      <w:r w:rsidR="005143AB">
        <w:t>.</w:t>
      </w:r>
      <w:r w:rsidRPr="00125B75">
        <w:t xml:space="preserve"> </w:t>
      </w:r>
      <w:r w:rsidR="005143AB">
        <w:t xml:space="preserve"> The VTS</w:t>
      </w:r>
      <w:r w:rsidR="005143AB" w:rsidRPr="00125B75">
        <w:t xml:space="preserve"> </w:t>
      </w:r>
      <w:r w:rsidRPr="00125B75">
        <w:t xml:space="preserve">uses </w:t>
      </w:r>
      <w:r w:rsidR="005143AB" w:rsidRPr="00125B75">
        <w:t xml:space="preserve">Information Service (INS) and </w:t>
      </w:r>
      <w:r w:rsidRPr="00125B75">
        <w:t xml:space="preserve">Traffic Organization Service (TOS) to manage traffic. </w:t>
      </w:r>
      <w:r w:rsidR="00125B75">
        <w:t xml:space="preserve"> </w:t>
      </w:r>
      <w:r w:rsidRPr="00125B75">
        <w:t xml:space="preserve">IMO Resolution A.827(19) </w:t>
      </w:r>
      <w:r w:rsidR="005143AB">
        <w:t>refers</w:t>
      </w:r>
      <w:r w:rsidRPr="00125B75">
        <w:t>.</w:t>
      </w:r>
    </w:p>
    <w:p w:rsidR="00BE2A90" w:rsidRPr="00125B75" w:rsidRDefault="00FB60FF" w:rsidP="00125B75">
      <w:pPr>
        <w:pStyle w:val="BodyText"/>
      </w:pPr>
      <w:r w:rsidRPr="00125B75">
        <w:t xml:space="preserve">Although this system is not mandatory for all vessels it experiences </w:t>
      </w:r>
      <w:r w:rsidR="005143AB">
        <w:t xml:space="preserve">almost </w:t>
      </w:r>
      <w:r w:rsidRPr="00125B75">
        <w:t xml:space="preserve">100% compliance from vessels due to the benefits received regarding </w:t>
      </w:r>
      <w:r w:rsidR="00641E01" w:rsidRPr="00125B75">
        <w:t xml:space="preserve">safe and </w:t>
      </w:r>
      <w:r w:rsidRPr="00125B75">
        <w:t>efficient traffic movement.</w:t>
      </w:r>
      <w:r w:rsidR="00125B75">
        <w:t xml:space="preserve"> </w:t>
      </w:r>
      <w:r w:rsidRPr="00125B75">
        <w:t xml:space="preserve"> A Navigational Assistance Service (NAS) can also be provided on request by vessels</w:t>
      </w:r>
      <w:r w:rsidR="00641E01" w:rsidRPr="00125B75">
        <w:t xml:space="preserve"> </w:t>
      </w:r>
      <w:r w:rsidRPr="00125B75">
        <w:t xml:space="preserve">within the international waters </w:t>
      </w:r>
      <w:r w:rsidR="005143AB" w:rsidRPr="00125B75">
        <w:t>p</w:t>
      </w:r>
      <w:r w:rsidR="005143AB">
        <w:t>ortion</w:t>
      </w:r>
      <w:r w:rsidR="005143AB" w:rsidRPr="00125B75">
        <w:t xml:space="preserve"> </w:t>
      </w:r>
      <w:r w:rsidRPr="00125B75">
        <w:t>of the VTS area.</w:t>
      </w:r>
    </w:p>
    <w:p w:rsidR="005307B0" w:rsidRPr="00125B75" w:rsidRDefault="00FB60FF" w:rsidP="00125B75">
      <w:pPr>
        <w:pStyle w:val="BodyText"/>
      </w:pPr>
      <w:r w:rsidRPr="00125B75">
        <w:t>This arrangement allows for the efficient management of vessel movements and the ability to prioritise the passage of certain types of vessels</w:t>
      </w:r>
      <w:r w:rsidR="00443F5C" w:rsidRPr="00125B75">
        <w:t>,</w:t>
      </w:r>
      <w:r w:rsidRPr="00125B75">
        <w:t xml:space="preserve"> e.g. passenger ships and livestock carriers.</w:t>
      </w:r>
      <w:r w:rsidR="00125B75">
        <w:t xml:space="preserve"> </w:t>
      </w:r>
      <w:r w:rsidR="005307B0" w:rsidRPr="00125B75">
        <w:t xml:space="preserve"> For further information see</w:t>
      </w:r>
      <w:r w:rsidR="0081106A" w:rsidRPr="00125B75">
        <w:t xml:space="preserve"> </w:t>
      </w:r>
      <w:hyperlink r:id="rId13" w:history="1">
        <w:r w:rsidR="005143AB" w:rsidRPr="008C0FA5">
          <w:rPr>
            <w:rStyle w:val="Hyperlink"/>
          </w:rPr>
          <w:t>www.coastalsafety.gov.tr</w:t>
        </w:r>
      </w:hyperlink>
      <w:r w:rsidR="005307B0" w:rsidRPr="00125B75">
        <w:t>.</w:t>
      </w:r>
    </w:p>
    <w:p w:rsidR="00713E8D" w:rsidRDefault="00713E8D" w:rsidP="00125B75">
      <w:pPr>
        <w:pStyle w:val="AnnexHead1"/>
      </w:pPr>
      <w:r>
        <w:t>VAR</w:t>
      </w:r>
      <w:r w:rsidR="009E201E">
        <w:t>DOE VTS (NORWAY)</w:t>
      </w:r>
    </w:p>
    <w:p w:rsidR="009E201E" w:rsidRDefault="00E40767" w:rsidP="005307B0">
      <w:pPr>
        <w:pStyle w:val="BodyText"/>
      </w:pPr>
      <w:r w:rsidRPr="00B4071E">
        <w:t>Th</w:t>
      </w:r>
      <w:r>
        <w:t>e</w:t>
      </w:r>
      <w:r w:rsidRPr="00B4071E">
        <w:t xml:space="preserve"> </w:t>
      </w:r>
      <w:r w:rsidR="009E201E">
        <w:t xml:space="preserve">Traffic Separation Scheme </w:t>
      </w:r>
      <w:r w:rsidR="00BE4FF1">
        <w:t>(TSS)</w:t>
      </w:r>
      <w:r>
        <w:t xml:space="preserve"> Vardoe to Roest</w:t>
      </w:r>
      <w:r w:rsidR="00BE4FF1">
        <w:t>, for vessel</w:t>
      </w:r>
      <w:r w:rsidR="00443F5C">
        <w:t>s</w:t>
      </w:r>
      <w:r w:rsidR="00BE4FF1">
        <w:t xml:space="preserve"> of </w:t>
      </w:r>
      <w:r w:rsidR="003967E8">
        <w:t xml:space="preserve">more than </w:t>
      </w:r>
      <w:r w:rsidR="00BE4FF1">
        <w:t>5,000 tons</w:t>
      </w:r>
      <w:r w:rsidR="009E201E" w:rsidRPr="00B4071E">
        <w:t xml:space="preserve"> </w:t>
      </w:r>
      <w:r w:rsidR="009E201E">
        <w:t>is implemented</w:t>
      </w:r>
      <w:r w:rsidR="009E201E" w:rsidRPr="00B4071E">
        <w:t xml:space="preserve"> under the authorit</w:t>
      </w:r>
      <w:r w:rsidR="00BE4FF1">
        <w:t>y of IMO Maritime Safety Committee as notified in document COLREG.2/Circ.58</w:t>
      </w:r>
      <w:r w:rsidR="003967E8">
        <w:t>.</w:t>
      </w:r>
    </w:p>
    <w:p w:rsidR="00713E8D" w:rsidRDefault="009E201E" w:rsidP="005307B0">
      <w:pPr>
        <w:pStyle w:val="BodyText"/>
      </w:pPr>
      <w:r>
        <w:t xml:space="preserve">This </w:t>
      </w:r>
      <w:r w:rsidR="00BE4FF1">
        <w:t xml:space="preserve">TSS </w:t>
      </w:r>
      <w:r>
        <w:t>is 30</w:t>
      </w:r>
      <w:r w:rsidR="00E45C6D">
        <w:t>nm</w:t>
      </w:r>
      <w:r>
        <w:t xml:space="preserve"> outside territorial waters</w:t>
      </w:r>
      <w:r w:rsidR="00E40767">
        <w:t>.</w:t>
      </w:r>
      <w:r>
        <w:t xml:space="preserve"> </w:t>
      </w:r>
      <w:r w:rsidR="00D45AE6">
        <w:t xml:space="preserve"> </w:t>
      </w:r>
      <w:r>
        <w:t xml:space="preserve">Vardoe VTS monitors this </w:t>
      </w:r>
      <w:r w:rsidR="003967E8">
        <w:t>TSS</w:t>
      </w:r>
      <w:r w:rsidR="00443F5C">
        <w:t>,</w:t>
      </w:r>
      <w:r>
        <w:t xml:space="preserve"> </w:t>
      </w:r>
      <w:r w:rsidR="00683B86">
        <w:t xml:space="preserve">provides </w:t>
      </w:r>
      <w:r w:rsidR="00E40767">
        <w:t>an Information Service (INS)</w:t>
      </w:r>
      <w:r w:rsidR="003967E8">
        <w:t xml:space="preserve"> and utilises a voluntary reporting system</w:t>
      </w:r>
      <w:r w:rsidR="00443F5C">
        <w:t>.</w:t>
      </w:r>
      <w:r>
        <w:t xml:space="preserve"> </w:t>
      </w:r>
      <w:r w:rsidR="00125B75">
        <w:t xml:space="preserve"> </w:t>
      </w:r>
      <w:r w:rsidR="003967E8">
        <w:t>The main objectives for this service</w:t>
      </w:r>
      <w:r w:rsidR="00C11947">
        <w:t xml:space="preserve"> are to improve maritime</w:t>
      </w:r>
      <w:r w:rsidR="003967E8">
        <w:t xml:space="preserve"> safety and protect the marine environment from pollution, exchange information between </w:t>
      </w:r>
      <w:r w:rsidR="00C11947">
        <w:t>vessels</w:t>
      </w:r>
      <w:r w:rsidR="003967E8">
        <w:t xml:space="preserve"> and Vardoe VTS, and </w:t>
      </w:r>
      <w:r w:rsidR="00EF10D8">
        <w:t xml:space="preserve">provide </w:t>
      </w:r>
      <w:r w:rsidR="00EC33D6">
        <w:t xml:space="preserve">emergency </w:t>
      </w:r>
      <w:r w:rsidR="00EF10D8">
        <w:t>re</w:t>
      </w:r>
      <w:r w:rsidR="000B4705">
        <w:t>sponse for pollution incidents</w:t>
      </w:r>
      <w:r w:rsidR="00EF10D8">
        <w:t>.</w:t>
      </w:r>
      <w:r>
        <w:t xml:space="preserve"> </w:t>
      </w:r>
      <w:r w:rsidR="00125B75">
        <w:t xml:space="preserve"> </w:t>
      </w:r>
      <w:r w:rsidR="003967E8">
        <w:t xml:space="preserve">For further information see </w:t>
      </w:r>
      <w:hyperlink r:id="rId14" w:history="1">
        <w:r w:rsidR="000160E1" w:rsidRPr="008C0FA5">
          <w:rPr>
            <w:rStyle w:val="Hyperlink"/>
          </w:rPr>
          <w:t>www.kystverket.no</w:t>
        </w:r>
      </w:hyperlink>
      <w:r w:rsidR="003967E8">
        <w:t>.</w:t>
      </w:r>
    </w:p>
    <w:p w:rsidR="000160E1" w:rsidRDefault="000160E1" w:rsidP="00B214F9">
      <w:pPr>
        <w:pStyle w:val="AnnexHead1"/>
      </w:pPr>
      <w:r w:rsidRPr="00B214F9">
        <w:t>Off the</w:t>
      </w:r>
      <w:r>
        <w:t xml:space="preserve"> Coast of Portugal</w:t>
      </w:r>
    </w:p>
    <w:p w:rsidR="000160E1" w:rsidRDefault="00E40767" w:rsidP="005307B0">
      <w:pPr>
        <w:pStyle w:val="BodyText"/>
      </w:pPr>
      <w:r>
        <w:t xml:space="preserve">A coastal VTS (Roca Control) is used to monitor vessel traffic up to </w:t>
      </w:r>
      <w:r w:rsidR="00E45C6D">
        <w:t xml:space="preserve">50nm </w:t>
      </w:r>
      <w:r>
        <w:t xml:space="preserve">from the coast of Portugal on a voluntary basis and to monitor and manage vessel traffic in two Traffic Separation Schemes </w:t>
      </w:r>
      <w:r w:rsidR="00E03AF5">
        <w:t>‘</w:t>
      </w:r>
      <w:r>
        <w:t>Off Cape Roca</w:t>
      </w:r>
      <w:r w:rsidR="00E03AF5">
        <w:t>’</w:t>
      </w:r>
      <w:r>
        <w:t xml:space="preserve"> and </w:t>
      </w:r>
      <w:r w:rsidR="00E03AF5">
        <w:t>‘</w:t>
      </w:r>
      <w:r>
        <w:t>Off Cape S. Vicente</w:t>
      </w:r>
      <w:r w:rsidR="00E03AF5">
        <w:t>’</w:t>
      </w:r>
      <w:r>
        <w:t xml:space="preserve">, approved by </w:t>
      </w:r>
      <w:r w:rsidRPr="00107A52">
        <w:rPr>
          <w:rFonts w:cs="Arial"/>
        </w:rPr>
        <w:t xml:space="preserve">MSC 79/23/Add.2/Annex 28 </w:t>
      </w:r>
      <w:r w:rsidRPr="00107A52">
        <w:rPr>
          <w:rFonts w:cs="Arial"/>
        </w:rPr>
        <w:lastRenderedPageBreak/>
        <w:t>and Annex 29</w:t>
      </w:r>
      <w:r w:rsidR="00B72AAD">
        <w:t>.  Roca Control</w:t>
      </w:r>
      <w:r>
        <w:t xml:space="preserve"> </w:t>
      </w:r>
      <w:r w:rsidR="00B72AAD">
        <w:t>provides INS, NAS and TOS, and</w:t>
      </w:r>
      <w:r>
        <w:t xml:space="preserve"> </w:t>
      </w:r>
      <w:r w:rsidR="00B72AAD">
        <w:t xml:space="preserve">monitors </w:t>
      </w:r>
      <w:r>
        <w:t xml:space="preserve">two Ship Reporting Systems: COPREP, (approved by </w:t>
      </w:r>
      <w:r w:rsidR="00D45AE6">
        <w:t xml:space="preserve">IMO </w:t>
      </w:r>
      <w:r>
        <w:t>Res</w:t>
      </w:r>
      <w:r w:rsidR="00D45AE6">
        <w:t>olution</w:t>
      </w:r>
      <w:r>
        <w:t xml:space="preserve"> MSC.278(85)) and WETREP (approved by </w:t>
      </w:r>
      <w:r w:rsidR="00D45AE6">
        <w:t>IMO Resolution</w:t>
      </w:r>
      <w:r>
        <w:t xml:space="preserve"> MSC 190(79)), all</w:t>
      </w:r>
      <w:r w:rsidR="00B72AAD">
        <w:t xml:space="preserve"> beyond territorial sea</w:t>
      </w:r>
      <w:r>
        <w:t>s.</w:t>
      </w:r>
    </w:p>
    <w:p w:rsidR="00FB60FF" w:rsidRDefault="00FB60FF" w:rsidP="00BE2A90">
      <w:pPr>
        <w:pStyle w:val="BodyText"/>
        <w:jc w:val="left"/>
      </w:pPr>
    </w:p>
    <w:p w:rsidR="004D6EF2" w:rsidRDefault="004D6EF2" w:rsidP="004D6EF2">
      <w:pPr>
        <w:pStyle w:val="Annex"/>
        <w:numPr>
          <w:ilvl w:val="0"/>
          <w:numId w:val="0"/>
        </w:numPr>
        <w:ind w:left="360"/>
        <w:sectPr w:rsidR="004D6EF2">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pPr>
    </w:p>
    <w:p w:rsidR="004D6EF2" w:rsidRPr="00D04889" w:rsidRDefault="002915F1" w:rsidP="004D6EF2">
      <w:pPr>
        <w:pStyle w:val="Annex"/>
        <w:rPr>
          <w:rFonts w:cs="Arial"/>
        </w:rPr>
      </w:pPr>
      <w:bookmarkStart w:id="13" w:name="_Ref240949991"/>
      <w:bookmarkStart w:id="14" w:name="_Toc243025524"/>
      <w:r>
        <w:rPr>
          <w:rFonts w:cs="Arial"/>
        </w:rPr>
        <w:lastRenderedPageBreak/>
        <w:t>PROCEDURES</w:t>
      </w:r>
      <w:r w:rsidR="00D04889" w:rsidRPr="00D04889">
        <w:rPr>
          <w:rFonts w:cs="Arial"/>
        </w:rPr>
        <w:t xml:space="preserve"> </w:t>
      </w:r>
      <w:r w:rsidR="00500016">
        <w:rPr>
          <w:rFonts w:cs="Arial"/>
        </w:rPr>
        <w:t xml:space="preserve">AND GUIDES </w:t>
      </w:r>
      <w:r w:rsidR="00D04889" w:rsidRPr="00D04889">
        <w:rPr>
          <w:rFonts w:cs="Arial"/>
        </w:rPr>
        <w:t xml:space="preserve">for </w:t>
      </w:r>
      <w:r>
        <w:rPr>
          <w:rFonts w:cs="Arial"/>
        </w:rPr>
        <w:t>IMO APPROVAL</w:t>
      </w:r>
      <w:bookmarkEnd w:id="13"/>
      <w:bookmarkEnd w:id="14"/>
    </w:p>
    <w:p w:rsidR="00D04889" w:rsidRDefault="00D04889" w:rsidP="00D04889">
      <w:pPr>
        <w:pStyle w:val="BodyText"/>
      </w:pPr>
      <w:r>
        <w:t>Listed below are the procedures</w:t>
      </w:r>
      <w:r w:rsidR="002915F1">
        <w:t xml:space="preserve"> and guides</w:t>
      </w:r>
      <w:r>
        <w:t xml:space="preserve"> to obtain IMO approval for Ship Reporting Systems</w:t>
      </w:r>
      <w:r w:rsidR="00125B75">
        <w:t>,</w:t>
      </w:r>
      <w:r>
        <w:t xml:space="preserve"> incorporating VTS.</w:t>
      </w:r>
    </w:p>
    <w:p w:rsidR="005307B0" w:rsidRDefault="005307B0" w:rsidP="00E03AF5">
      <w:pPr>
        <w:pStyle w:val="List1"/>
        <w:numPr>
          <w:ilvl w:val="0"/>
          <w:numId w:val="47"/>
        </w:numPr>
      </w:pPr>
      <w:r>
        <w:t>Guidance Note on the Preparation of Proposals on Ship’s Routeing Systems and Ship Reporting Systems for Submission to the Sub-Committee on Safety of Navigation, (IMO MSC/Circ.1060).</w:t>
      </w:r>
    </w:p>
    <w:p w:rsidR="002B153D" w:rsidRDefault="002B153D" w:rsidP="005307B0">
      <w:pPr>
        <w:pStyle w:val="List1"/>
      </w:pPr>
      <w:r w:rsidRPr="00D04889">
        <w:t>General principles for Ship Reporting Systems and Ships Reporting Requirements, including Guidelines for reporting Incidents Involving Dangerous Goods, Harmful Substances and/or Marine Pollutants (IMO Resolution A.851(20)</w:t>
      </w:r>
      <w:r>
        <w:t>)</w:t>
      </w:r>
      <w:r w:rsidRPr="00D04889">
        <w:t>.</w:t>
      </w:r>
    </w:p>
    <w:p w:rsidR="00D04889" w:rsidRPr="00D04889" w:rsidRDefault="005307B0" w:rsidP="00E45C6D">
      <w:pPr>
        <w:pStyle w:val="List1"/>
        <w:rPr>
          <w:lang w:eastAsia="en-US"/>
        </w:rPr>
      </w:pPr>
      <w:r w:rsidRPr="00D04889">
        <w:t>IMO Guidelines and Criteria for Ship Reporting Systems (IMO Resolution MSC.43(64)).</w:t>
      </w:r>
      <w:r w:rsidR="00E45C6D">
        <w:t xml:space="preserve">  </w:t>
      </w:r>
      <w:r w:rsidR="002B153D">
        <w:t xml:space="preserve">Adoption of Amendments to Guidelines and Criteria for Ship Reporting Systems </w:t>
      </w:r>
      <w:r w:rsidR="002B153D" w:rsidRPr="00D04889">
        <w:t xml:space="preserve">(IMO Resolution </w:t>
      </w:r>
      <w:r w:rsidR="002B153D">
        <w:t>MSC</w:t>
      </w:r>
      <w:r w:rsidR="002B153D" w:rsidRPr="00D04889">
        <w:t>.</w:t>
      </w:r>
      <w:r w:rsidR="002B153D">
        <w:t>111</w:t>
      </w:r>
      <w:r w:rsidR="002B153D" w:rsidRPr="00D04889">
        <w:t>(</w:t>
      </w:r>
      <w:r w:rsidR="002B153D">
        <w:t>73</w:t>
      </w:r>
      <w:r w:rsidR="002B153D" w:rsidRPr="00D04889">
        <w:t>))</w:t>
      </w:r>
      <w:r w:rsidR="002B153D">
        <w:t xml:space="preserve"> and </w:t>
      </w:r>
      <w:r w:rsidR="002B153D" w:rsidRPr="00D04889">
        <w:t xml:space="preserve">(IMO Resolution </w:t>
      </w:r>
      <w:r w:rsidR="002B153D">
        <w:t>MSC.189(79</w:t>
      </w:r>
      <w:r w:rsidR="002B153D" w:rsidRPr="00D04889">
        <w:t>)).</w:t>
      </w:r>
    </w:p>
    <w:sectPr w:rsidR="00D04889" w:rsidRPr="00D04889" w:rsidSect="00A163D8">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3F2" w:rsidRDefault="009163F2" w:rsidP="009E1230">
      <w:r>
        <w:separator/>
      </w:r>
    </w:p>
  </w:endnote>
  <w:endnote w:type="continuationSeparator" w:id="0">
    <w:p w:rsidR="009163F2" w:rsidRDefault="009163F2" w:rsidP="009E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906" w:rsidRPr="008136BC" w:rsidRDefault="00A16906" w:rsidP="00870A1B">
    <w:pPr>
      <w:pStyle w:val="Footer"/>
    </w:pPr>
    <w:r w:rsidRPr="008136BC">
      <w:tab/>
    </w:r>
    <w:r w:rsidRPr="008136BC">
      <w:rPr>
        <w:lang w:val="en-US"/>
      </w:rPr>
      <w:t xml:space="preserve">Page </w:t>
    </w:r>
    <w:r w:rsidR="009E327D" w:rsidRPr="008136BC">
      <w:rPr>
        <w:lang w:val="en-US"/>
      </w:rPr>
      <w:fldChar w:fldCharType="begin"/>
    </w:r>
    <w:r w:rsidRPr="008136BC">
      <w:rPr>
        <w:lang w:val="en-US"/>
      </w:rPr>
      <w:instrText xml:space="preserve"> PAGE </w:instrText>
    </w:r>
    <w:r w:rsidR="009E327D" w:rsidRPr="008136BC">
      <w:rPr>
        <w:lang w:val="en-US"/>
      </w:rPr>
      <w:fldChar w:fldCharType="separate"/>
    </w:r>
    <w:r w:rsidR="00E32AA8">
      <w:rPr>
        <w:noProof/>
        <w:lang w:val="en-US"/>
      </w:rPr>
      <w:t>3</w:t>
    </w:r>
    <w:r w:rsidR="009E327D" w:rsidRPr="008136BC">
      <w:rPr>
        <w:lang w:val="en-US"/>
      </w:rPr>
      <w:fldChar w:fldCharType="end"/>
    </w:r>
    <w:r w:rsidRPr="008136BC">
      <w:rPr>
        <w:lang w:val="en-US"/>
      </w:rPr>
      <w:t xml:space="preserve"> of </w:t>
    </w:r>
    <w:r w:rsidR="009E327D" w:rsidRPr="008136BC">
      <w:rPr>
        <w:lang w:val="en-US"/>
      </w:rPr>
      <w:fldChar w:fldCharType="begin"/>
    </w:r>
    <w:r w:rsidRPr="008136BC">
      <w:rPr>
        <w:lang w:val="en-US"/>
      </w:rPr>
      <w:instrText xml:space="preserve"> NUMPAGES </w:instrText>
    </w:r>
    <w:r w:rsidR="009E327D" w:rsidRPr="008136BC">
      <w:rPr>
        <w:lang w:val="en-US"/>
      </w:rPr>
      <w:fldChar w:fldCharType="separate"/>
    </w:r>
    <w:r w:rsidR="00E32AA8">
      <w:rPr>
        <w:noProof/>
        <w:lang w:val="en-US"/>
      </w:rPr>
      <w:t>8</w:t>
    </w:r>
    <w:r w:rsidR="009E327D"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3F2" w:rsidRDefault="009163F2" w:rsidP="009E1230">
      <w:r>
        <w:separator/>
      </w:r>
    </w:p>
  </w:footnote>
  <w:footnote w:type="continuationSeparator" w:id="0">
    <w:p w:rsidR="009163F2" w:rsidRDefault="009163F2"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906" w:rsidRDefault="00A16906" w:rsidP="008136BC">
    <w:pPr>
      <w:jc w:val="center"/>
      <w:rPr>
        <w:rFonts w:cs="Arial"/>
        <w:sz w:val="20"/>
        <w:highlight w:val="yellow"/>
      </w:rPr>
    </w:pPr>
    <w:r w:rsidRPr="004F41E7">
      <w:rPr>
        <w:rFonts w:cs="Arial"/>
        <w:sz w:val="20"/>
      </w:rPr>
      <w:t xml:space="preserve">Guideline </w:t>
    </w:r>
    <w:r w:rsidR="004F41E7">
      <w:rPr>
        <w:rFonts w:cs="Arial"/>
        <w:sz w:val="20"/>
        <w:highlight w:val="yellow"/>
      </w:rPr>
      <w:t>1071</w:t>
    </w:r>
    <w:r w:rsidR="004F41E7" w:rsidRPr="004F41E7">
      <w:rPr>
        <w:rFonts w:cs="Arial"/>
        <w:sz w:val="20"/>
      </w:rPr>
      <w:t xml:space="preserve"> </w:t>
    </w:r>
    <w:r w:rsidRPr="004F41E7">
      <w:rPr>
        <w:rFonts w:cs="Arial"/>
        <w:sz w:val="20"/>
      </w:rPr>
      <w:t xml:space="preserve">– </w:t>
    </w:r>
    <w:r w:rsidR="004F41E7" w:rsidRPr="004F41E7">
      <w:rPr>
        <w:rFonts w:cs="Arial"/>
        <w:bCs/>
        <w:color w:val="000000"/>
        <w:sz w:val="20"/>
        <w:szCs w:val="20"/>
      </w:rPr>
      <w:t>Establishment of a Vessel Traffic Service</w:t>
    </w:r>
    <w:r w:rsidR="00E455AF">
      <w:rPr>
        <w:rFonts w:cs="Arial"/>
        <w:bCs/>
        <w:color w:val="000000"/>
        <w:sz w:val="20"/>
        <w:szCs w:val="20"/>
      </w:rPr>
      <w:t xml:space="preserve"> beyond Territorial Sea</w:t>
    </w:r>
    <w:r w:rsidR="004F41E7" w:rsidRPr="004F41E7">
      <w:rPr>
        <w:rFonts w:cs="Arial"/>
        <w:bCs/>
        <w:color w:val="000000"/>
        <w:sz w:val="20"/>
        <w:szCs w:val="20"/>
      </w:rPr>
      <w:t>s</w:t>
    </w:r>
  </w:p>
  <w:p w:rsidR="00A16906" w:rsidRDefault="004F41E7" w:rsidP="008136BC">
    <w:pPr>
      <w:pBdr>
        <w:bottom w:val="single" w:sz="4" w:space="1" w:color="auto"/>
      </w:pBdr>
      <w:jc w:val="center"/>
    </w:pPr>
    <w:r w:rsidRPr="004F41E7">
      <w:rPr>
        <w:rFonts w:cs="Arial"/>
        <w:sz w:val="20"/>
        <w:highlight w:val="yellow"/>
      </w:rPr>
      <w:t>December 2009</w:t>
    </w:r>
  </w:p>
  <w:p w:rsidR="00A16906" w:rsidRDefault="00A16906">
    <w:pP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E7" w:rsidRDefault="004F41E7">
    <w:pPr>
      <w:pStyle w:val="Header"/>
    </w:pPr>
    <w:r>
      <w:tab/>
    </w:r>
    <w:r>
      <w:tab/>
      <w:t>VTS/output/4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5AF" w:rsidRDefault="00E455AF" w:rsidP="00E455AF">
    <w:pPr>
      <w:jc w:val="center"/>
      <w:rPr>
        <w:rFonts w:cs="Arial"/>
        <w:sz w:val="20"/>
        <w:highlight w:val="yellow"/>
      </w:rPr>
    </w:pPr>
    <w:r w:rsidRPr="004F41E7">
      <w:rPr>
        <w:rFonts w:cs="Arial"/>
        <w:sz w:val="20"/>
      </w:rPr>
      <w:t xml:space="preserve">Guideline </w:t>
    </w:r>
    <w:r>
      <w:rPr>
        <w:rFonts w:cs="Arial"/>
        <w:sz w:val="20"/>
        <w:highlight w:val="yellow"/>
      </w:rPr>
      <w:t>1071</w:t>
    </w:r>
    <w:r w:rsidRPr="004F41E7">
      <w:rPr>
        <w:rFonts w:cs="Arial"/>
        <w:sz w:val="20"/>
      </w:rPr>
      <w:t xml:space="preserve"> – </w:t>
    </w:r>
    <w:r w:rsidRPr="004F41E7">
      <w:rPr>
        <w:rFonts w:cs="Arial"/>
        <w:bCs/>
        <w:color w:val="000000"/>
        <w:sz w:val="20"/>
        <w:szCs w:val="20"/>
      </w:rPr>
      <w:t>Establishment of a Vessel Traffic Service</w:t>
    </w:r>
    <w:r>
      <w:rPr>
        <w:rFonts w:cs="Arial"/>
        <w:bCs/>
        <w:color w:val="000000"/>
        <w:sz w:val="20"/>
        <w:szCs w:val="20"/>
      </w:rPr>
      <w:t xml:space="preserve"> beyond Territorial Sea</w:t>
    </w:r>
    <w:r w:rsidRPr="004F41E7">
      <w:rPr>
        <w:rFonts w:cs="Arial"/>
        <w:bCs/>
        <w:color w:val="000000"/>
        <w:sz w:val="20"/>
        <w:szCs w:val="20"/>
      </w:rPr>
      <w:t>s</w:t>
    </w:r>
  </w:p>
  <w:p w:rsidR="00E455AF" w:rsidRDefault="00E455AF" w:rsidP="00E455AF">
    <w:pPr>
      <w:pBdr>
        <w:bottom w:val="single" w:sz="4" w:space="1" w:color="auto"/>
      </w:pBdr>
      <w:jc w:val="center"/>
    </w:pPr>
    <w:r w:rsidRPr="004F41E7">
      <w:rPr>
        <w:rFonts w:cs="Arial"/>
        <w:sz w:val="20"/>
        <w:highlight w:val="yellow"/>
      </w:rPr>
      <w:t>December 2009</w:t>
    </w:r>
  </w:p>
  <w:p w:rsidR="00E455AF" w:rsidRDefault="00E455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F07124"/>
    <w:lvl w:ilvl="0">
      <w:start w:val="1"/>
      <w:numFmt w:val="decimal"/>
      <w:lvlText w:val="%1."/>
      <w:lvlJc w:val="left"/>
      <w:pPr>
        <w:tabs>
          <w:tab w:val="num" w:pos="1492"/>
        </w:tabs>
        <w:ind w:left="1492" w:hanging="360"/>
      </w:pPr>
    </w:lvl>
  </w:abstractNum>
  <w:abstractNum w:abstractNumId="1">
    <w:nsid w:val="FFFFFF7D"/>
    <w:multiLevelType w:val="singleLevel"/>
    <w:tmpl w:val="C9544744"/>
    <w:lvl w:ilvl="0">
      <w:start w:val="1"/>
      <w:numFmt w:val="decimal"/>
      <w:lvlText w:val="%1."/>
      <w:lvlJc w:val="left"/>
      <w:pPr>
        <w:tabs>
          <w:tab w:val="num" w:pos="1209"/>
        </w:tabs>
        <w:ind w:left="1209" w:hanging="360"/>
      </w:pPr>
    </w:lvl>
  </w:abstractNum>
  <w:abstractNum w:abstractNumId="2">
    <w:nsid w:val="FFFFFF7E"/>
    <w:multiLevelType w:val="singleLevel"/>
    <w:tmpl w:val="D4F0BC7E"/>
    <w:lvl w:ilvl="0">
      <w:start w:val="1"/>
      <w:numFmt w:val="decimal"/>
      <w:lvlText w:val="%1."/>
      <w:lvlJc w:val="left"/>
      <w:pPr>
        <w:tabs>
          <w:tab w:val="num" w:pos="926"/>
        </w:tabs>
        <w:ind w:left="926" w:hanging="360"/>
      </w:pPr>
    </w:lvl>
  </w:abstractNum>
  <w:abstractNum w:abstractNumId="3">
    <w:nsid w:val="FFFFFF7F"/>
    <w:multiLevelType w:val="singleLevel"/>
    <w:tmpl w:val="A73A0A16"/>
    <w:lvl w:ilvl="0">
      <w:start w:val="1"/>
      <w:numFmt w:val="decimal"/>
      <w:lvlText w:val="%1."/>
      <w:lvlJc w:val="left"/>
      <w:pPr>
        <w:tabs>
          <w:tab w:val="num" w:pos="643"/>
        </w:tabs>
        <w:ind w:left="643" w:hanging="360"/>
      </w:pPr>
    </w:lvl>
  </w:abstractNum>
  <w:abstractNum w:abstractNumId="4">
    <w:nsid w:val="FFFFFF80"/>
    <w:multiLevelType w:val="singleLevel"/>
    <w:tmpl w:val="191CA1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7416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F8FB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BCE0B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07A7B6C"/>
    <w:multiLevelType w:val="hybridMultilevel"/>
    <w:tmpl w:val="715C70D2"/>
    <w:lvl w:ilvl="0" w:tplc="0EFEAB9C">
      <w:start w:val="1"/>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AF338B8"/>
    <w:multiLevelType w:val="hybridMultilevel"/>
    <w:tmpl w:val="1B78514C"/>
    <w:lvl w:ilvl="0" w:tplc="C932A93A">
      <w:start w:val="1"/>
      <w:numFmt w:val="decimal"/>
      <w:lvlText w:val="%1."/>
      <w:lvlJc w:val="left"/>
      <w:pPr>
        <w:ind w:left="920" w:hanging="560"/>
      </w:pPr>
      <w:rPr>
        <w:rFonts w:hint="default"/>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
    <w:nsid w:val="19C37E91"/>
    <w:multiLevelType w:val="multilevel"/>
    <w:tmpl w:val="2332846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77B87"/>
    <w:multiLevelType w:val="hybridMultilevel"/>
    <w:tmpl w:val="8076A6C8"/>
    <w:lvl w:ilvl="0" w:tplc="7C1813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8DB212B"/>
    <w:multiLevelType w:val="multilevel"/>
    <w:tmpl w:val="B1243B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1AD7056"/>
    <w:multiLevelType w:val="hybridMultilevel"/>
    <w:tmpl w:val="E8C095D4"/>
    <w:lvl w:ilvl="0" w:tplc="0EFEAB9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8127C6"/>
    <w:multiLevelType w:val="multilevel"/>
    <w:tmpl w:val="F6FA820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ACA1928"/>
    <w:multiLevelType w:val="hybridMultilevel"/>
    <w:tmpl w:val="8BBE730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0652351"/>
    <w:multiLevelType w:val="hybridMultilevel"/>
    <w:tmpl w:val="243C75F2"/>
    <w:lvl w:ilvl="0" w:tplc="0EFEAB9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nsid w:val="496D1C44"/>
    <w:multiLevelType w:val="multilevel"/>
    <w:tmpl w:val="17E2B120"/>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60585238"/>
    <w:multiLevelType w:val="multilevel"/>
    <w:tmpl w:val="9BB84C12"/>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7A94E78"/>
    <w:multiLevelType w:val="hybridMultilevel"/>
    <w:tmpl w:val="1BDC2D82"/>
    <w:lvl w:ilvl="0" w:tplc="89FE56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B9221D"/>
    <w:multiLevelType w:val="multilevel"/>
    <w:tmpl w:val="15C6D19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0"/>
  </w:num>
  <w:num w:numId="4">
    <w:abstractNumId w:val="16"/>
  </w:num>
  <w:num w:numId="5">
    <w:abstractNumId w:val="25"/>
  </w:num>
  <w:num w:numId="6">
    <w:abstractNumId w:val="11"/>
  </w:num>
  <w:num w:numId="7">
    <w:abstractNumId w:val="30"/>
  </w:num>
  <w:num w:numId="8">
    <w:abstractNumId w:val="21"/>
  </w:num>
  <w:num w:numId="9">
    <w:abstractNumId w:val="29"/>
  </w:num>
  <w:num w:numId="10">
    <w:abstractNumId w:val="13"/>
  </w:num>
  <w:num w:numId="11">
    <w:abstractNumId w:val="33"/>
  </w:num>
  <w:num w:numId="12">
    <w:abstractNumId w:val="27"/>
  </w:num>
  <w:num w:numId="13">
    <w:abstractNumId w:val="8"/>
  </w:num>
  <w:num w:numId="14">
    <w:abstractNumId w:val="14"/>
  </w:num>
  <w:num w:numId="15">
    <w:abstractNumId w:val="26"/>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num>
  <w:num w:numId="29">
    <w:abstractNumId w:val="13"/>
    <w:lvlOverride w:ilvl="0">
      <w:startOverride w:val="1"/>
    </w:lvlOverride>
    <w:lvlOverride w:ilvl="1">
      <w:startOverride w:val="1"/>
    </w:lvlOverride>
  </w:num>
  <w:num w:numId="30">
    <w:abstractNumId w:val="15"/>
  </w:num>
  <w:num w:numId="31">
    <w:abstractNumId w:val="9"/>
  </w:num>
  <w:num w:numId="32">
    <w:abstractNumId w:val="13"/>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992"/>
          </w:tabs>
          <w:ind w:left="992" w:hanging="992"/>
        </w:pPr>
        <w:rPr>
          <w:rFonts w:hint="default"/>
        </w:rPr>
      </w:lvl>
    </w:lvlOverride>
    <w:lvlOverride w:ilvl="3">
      <w:lvl w:ilvl="3">
        <w:start w:val="1"/>
        <w:numFmt w:val="decimal"/>
        <w:lvlText w:val="%1.%2.%3.%4"/>
        <w:lvlJc w:val="left"/>
        <w:pPr>
          <w:tabs>
            <w:tab w:val="num" w:pos="1134"/>
          </w:tabs>
          <w:ind w:left="1134" w:hanging="113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3">
    <w:abstractNumId w:val="18"/>
  </w:num>
  <w:num w:numId="34">
    <w:abstractNumId w:val="22"/>
  </w:num>
  <w:num w:numId="35">
    <w:abstractNumId w:val="31"/>
  </w:num>
  <w:num w:numId="36">
    <w:abstractNumId w:val="17"/>
  </w:num>
  <w:num w:numId="37">
    <w:abstractNumId w:val="19"/>
  </w:num>
  <w:num w:numId="38">
    <w:abstractNumId w:val="32"/>
  </w:num>
  <w:num w:numId="39">
    <w:abstractNumId w:val="24"/>
  </w:num>
  <w:num w:numId="40">
    <w:abstractNumId w:val="12"/>
  </w:num>
  <w:num w:numId="41">
    <w:abstractNumId w:val="20"/>
  </w:num>
  <w:num w:numId="42">
    <w:abstractNumId w:val="24"/>
  </w:num>
  <w:num w:numId="43">
    <w:abstractNumId w:val="23"/>
  </w:num>
  <w:num w:numId="44">
    <w:abstractNumId w:val="23"/>
  </w:num>
  <w:num w:numId="45">
    <w:abstractNumId w:val="23"/>
  </w:num>
  <w:num w:numId="46">
    <w:abstractNumId w:val="23"/>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0004"/>
  <w:trackRevisions/>
  <w:doNotTrackMoves/>
  <w:defaultTabStop w:val="720"/>
  <w:clickAndTypeStyle w:val="BodyText"/>
  <w:drawingGridHorizontalSpacing w:val="110"/>
  <w:displayHorizontalDrawingGridEvery w:val="2"/>
  <w:noPunctuationKerning/>
  <w:characterSpacingControl w:val="doNotCompress"/>
  <w:hdrShapeDefaults>
    <o:shapedefaults v:ext="edit" spidmax="3277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51ED"/>
    <w:rsid w:val="000051ED"/>
    <w:rsid w:val="000160E1"/>
    <w:rsid w:val="00023D2D"/>
    <w:rsid w:val="000420D8"/>
    <w:rsid w:val="000448A8"/>
    <w:rsid w:val="000547E0"/>
    <w:rsid w:val="00083D1E"/>
    <w:rsid w:val="00084F9B"/>
    <w:rsid w:val="000B4705"/>
    <w:rsid w:val="00123E7B"/>
    <w:rsid w:val="00125B75"/>
    <w:rsid w:val="0012659C"/>
    <w:rsid w:val="001364D7"/>
    <w:rsid w:val="00151627"/>
    <w:rsid w:val="00162C42"/>
    <w:rsid w:val="0016473A"/>
    <w:rsid w:val="0018656F"/>
    <w:rsid w:val="00190B2B"/>
    <w:rsid w:val="001A2B50"/>
    <w:rsid w:val="001A3B54"/>
    <w:rsid w:val="001A3C82"/>
    <w:rsid w:val="001A7396"/>
    <w:rsid w:val="001D3B7C"/>
    <w:rsid w:val="001E1015"/>
    <w:rsid w:val="00206F9A"/>
    <w:rsid w:val="00207DD1"/>
    <w:rsid w:val="0021432C"/>
    <w:rsid w:val="00231303"/>
    <w:rsid w:val="002408A3"/>
    <w:rsid w:val="00244044"/>
    <w:rsid w:val="00253957"/>
    <w:rsid w:val="00277327"/>
    <w:rsid w:val="002835CE"/>
    <w:rsid w:val="002915F1"/>
    <w:rsid w:val="002A6AAB"/>
    <w:rsid w:val="002B153D"/>
    <w:rsid w:val="002B4786"/>
    <w:rsid w:val="002C2394"/>
    <w:rsid w:val="002D7E08"/>
    <w:rsid w:val="002E7CE7"/>
    <w:rsid w:val="002F0B4C"/>
    <w:rsid w:val="0032752D"/>
    <w:rsid w:val="00333145"/>
    <w:rsid w:val="00371BEF"/>
    <w:rsid w:val="00377981"/>
    <w:rsid w:val="00380C7B"/>
    <w:rsid w:val="00395D68"/>
    <w:rsid w:val="003967E8"/>
    <w:rsid w:val="003A2960"/>
    <w:rsid w:val="003A4769"/>
    <w:rsid w:val="003B5FFD"/>
    <w:rsid w:val="003C25A1"/>
    <w:rsid w:val="003C6459"/>
    <w:rsid w:val="003F23D2"/>
    <w:rsid w:val="00422E65"/>
    <w:rsid w:val="00443F5C"/>
    <w:rsid w:val="00460028"/>
    <w:rsid w:val="004A3893"/>
    <w:rsid w:val="004C2F5C"/>
    <w:rsid w:val="004D6EF2"/>
    <w:rsid w:val="004F17F7"/>
    <w:rsid w:val="004F41E7"/>
    <w:rsid w:val="004F72F9"/>
    <w:rsid w:val="00500016"/>
    <w:rsid w:val="005143AB"/>
    <w:rsid w:val="0052391D"/>
    <w:rsid w:val="005307B0"/>
    <w:rsid w:val="005713C4"/>
    <w:rsid w:val="00582569"/>
    <w:rsid w:val="005A6C35"/>
    <w:rsid w:val="00627203"/>
    <w:rsid w:val="00632734"/>
    <w:rsid w:val="00641E01"/>
    <w:rsid w:val="006427BF"/>
    <w:rsid w:val="00655287"/>
    <w:rsid w:val="00683B86"/>
    <w:rsid w:val="006C2566"/>
    <w:rsid w:val="006F5BF7"/>
    <w:rsid w:val="00713E8D"/>
    <w:rsid w:val="00721DBE"/>
    <w:rsid w:val="0075170E"/>
    <w:rsid w:val="00752173"/>
    <w:rsid w:val="00767FC6"/>
    <w:rsid w:val="00777E27"/>
    <w:rsid w:val="007975E2"/>
    <w:rsid w:val="007E43BC"/>
    <w:rsid w:val="0081106A"/>
    <w:rsid w:val="008132FF"/>
    <w:rsid w:val="008136BC"/>
    <w:rsid w:val="00830CE9"/>
    <w:rsid w:val="00832FAA"/>
    <w:rsid w:val="00841B97"/>
    <w:rsid w:val="0085735C"/>
    <w:rsid w:val="00857962"/>
    <w:rsid w:val="0087060C"/>
    <w:rsid w:val="00870A1B"/>
    <w:rsid w:val="0087112A"/>
    <w:rsid w:val="00893E36"/>
    <w:rsid w:val="008B6CF0"/>
    <w:rsid w:val="008C68EF"/>
    <w:rsid w:val="008D3E6A"/>
    <w:rsid w:val="008F6812"/>
    <w:rsid w:val="008F725C"/>
    <w:rsid w:val="009163F2"/>
    <w:rsid w:val="00921872"/>
    <w:rsid w:val="00922B53"/>
    <w:rsid w:val="009339E9"/>
    <w:rsid w:val="0094634F"/>
    <w:rsid w:val="009504E2"/>
    <w:rsid w:val="00956293"/>
    <w:rsid w:val="0097797C"/>
    <w:rsid w:val="00983B71"/>
    <w:rsid w:val="00986D5A"/>
    <w:rsid w:val="009A2C02"/>
    <w:rsid w:val="009B30D7"/>
    <w:rsid w:val="009B54A0"/>
    <w:rsid w:val="009C22FA"/>
    <w:rsid w:val="009C5B5A"/>
    <w:rsid w:val="009D215E"/>
    <w:rsid w:val="009E1230"/>
    <w:rsid w:val="009E201E"/>
    <w:rsid w:val="009E327D"/>
    <w:rsid w:val="00A14A4B"/>
    <w:rsid w:val="00A15362"/>
    <w:rsid w:val="00A163D8"/>
    <w:rsid w:val="00A16906"/>
    <w:rsid w:val="00A21909"/>
    <w:rsid w:val="00A261DF"/>
    <w:rsid w:val="00A27A7A"/>
    <w:rsid w:val="00A30CDD"/>
    <w:rsid w:val="00A339B7"/>
    <w:rsid w:val="00A34080"/>
    <w:rsid w:val="00A6234F"/>
    <w:rsid w:val="00AA304C"/>
    <w:rsid w:val="00AB5CAB"/>
    <w:rsid w:val="00AC2C6D"/>
    <w:rsid w:val="00AC5F56"/>
    <w:rsid w:val="00AE5700"/>
    <w:rsid w:val="00AF615B"/>
    <w:rsid w:val="00B0292D"/>
    <w:rsid w:val="00B214F9"/>
    <w:rsid w:val="00B33DC9"/>
    <w:rsid w:val="00B4071E"/>
    <w:rsid w:val="00B43C65"/>
    <w:rsid w:val="00B534F2"/>
    <w:rsid w:val="00B633B7"/>
    <w:rsid w:val="00B72AAD"/>
    <w:rsid w:val="00B73CFD"/>
    <w:rsid w:val="00B75C73"/>
    <w:rsid w:val="00B854DE"/>
    <w:rsid w:val="00B95C78"/>
    <w:rsid w:val="00BC523B"/>
    <w:rsid w:val="00BD11AF"/>
    <w:rsid w:val="00BE2A90"/>
    <w:rsid w:val="00BE4FF1"/>
    <w:rsid w:val="00BF2E27"/>
    <w:rsid w:val="00C11947"/>
    <w:rsid w:val="00C44025"/>
    <w:rsid w:val="00C528B9"/>
    <w:rsid w:val="00C531DA"/>
    <w:rsid w:val="00C64B1B"/>
    <w:rsid w:val="00C96D1A"/>
    <w:rsid w:val="00CA5776"/>
    <w:rsid w:val="00CB5315"/>
    <w:rsid w:val="00CB5860"/>
    <w:rsid w:val="00CC1D5F"/>
    <w:rsid w:val="00CD7575"/>
    <w:rsid w:val="00CF3BC5"/>
    <w:rsid w:val="00D04889"/>
    <w:rsid w:val="00D3428B"/>
    <w:rsid w:val="00D45AE6"/>
    <w:rsid w:val="00D50131"/>
    <w:rsid w:val="00D52150"/>
    <w:rsid w:val="00D5287D"/>
    <w:rsid w:val="00D847AD"/>
    <w:rsid w:val="00D84A88"/>
    <w:rsid w:val="00D86532"/>
    <w:rsid w:val="00DA64CA"/>
    <w:rsid w:val="00DB585F"/>
    <w:rsid w:val="00DC1CA6"/>
    <w:rsid w:val="00E01140"/>
    <w:rsid w:val="00E0124C"/>
    <w:rsid w:val="00E03AF5"/>
    <w:rsid w:val="00E23D6C"/>
    <w:rsid w:val="00E32AA8"/>
    <w:rsid w:val="00E40767"/>
    <w:rsid w:val="00E455AF"/>
    <w:rsid w:val="00E45C6D"/>
    <w:rsid w:val="00E570BA"/>
    <w:rsid w:val="00E604D2"/>
    <w:rsid w:val="00E711D8"/>
    <w:rsid w:val="00E7550C"/>
    <w:rsid w:val="00EC33D6"/>
    <w:rsid w:val="00EF10D8"/>
    <w:rsid w:val="00F11318"/>
    <w:rsid w:val="00F1531A"/>
    <w:rsid w:val="00F155DC"/>
    <w:rsid w:val="00F832A9"/>
    <w:rsid w:val="00F87F67"/>
    <w:rsid w:val="00F96ADE"/>
    <w:rsid w:val="00FB02D4"/>
    <w:rsid w:val="00FB5A77"/>
    <w:rsid w:val="00FB60FF"/>
    <w:rsid w:val="00FD115B"/>
    <w:rsid w:val="00FE4F5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regrouptable v:ext="edit">
        <o:entry new="1" old="0"/>
        <o:entry new="2" old="0"/>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39"/>
      </w:numPr>
      <w:spacing w:before="240" w:after="240"/>
      <w:outlineLvl w:val="0"/>
    </w:pPr>
    <w:rPr>
      <w:b/>
      <w:caps/>
      <w:kern w:val="28"/>
      <w:sz w:val="24"/>
      <w:szCs w:val="20"/>
      <w:lang w:eastAsia="de-DE"/>
    </w:rPr>
  </w:style>
  <w:style w:type="paragraph" w:styleId="Heading2">
    <w:name w:val="heading 2"/>
    <w:basedOn w:val="Normal"/>
    <w:next w:val="BodyText"/>
    <w:qFormat/>
    <w:rsid w:val="00371BEF"/>
    <w:pPr>
      <w:spacing w:before="120" w:after="120"/>
      <w:outlineLvl w:val="1"/>
    </w:pPr>
    <w:rPr>
      <w:b/>
    </w:rPr>
  </w:style>
  <w:style w:type="paragraph" w:styleId="Heading3">
    <w:name w:val="heading 3"/>
    <w:basedOn w:val="Normal"/>
    <w:next w:val="Normal"/>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basedOn w:val="DefaultParagraphFont"/>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basedOn w:val="DefaultParagraphFont"/>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basedOn w:val="DefaultParagraphFont"/>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b/>
      <w:bCs/>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BC523B"/>
    <w:pPr>
      <w:tabs>
        <w:tab w:val="left" w:pos="1134"/>
        <w:tab w:val="right" w:pos="9639"/>
      </w:tabs>
      <w:spacing w:before="120" w:after="120"/>
      <w:ind w:left="1134" w:hanging="1134"/>
    </w:pPr>
    <w:rPr>
      <w:b/>
      <w:caps/>
      <w:noProof/>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Normal"/>
    <w:rsid w:val="00125B75"/>
    <w:pPr>
      <w:numPr>
        <w:numId w:val="46"/>
      </w:numPr>
      <w:spacing w:before="240" w:after="240"/>
      <w:ind w:left="851" w:hanging="851"/>
    </w:pPr>
    <w:rPr>
      <w:b/>
      <w:caps/>
      <w:sz w:val="24"/>
    </w:rPr>
  </w:style>
  <w:style w:type="paragraph" w:customStyle="1" w:styleId="AnnexHead2">
    <w:name w:val="Annex Head 2"/>
    <w:basedOn w:val="Normal"/>
    <w:next w:val="Normal"/>
    <w:rsid w:val="00125B75"/>
    <w:pPr>
      <w:numPr>
        <w:ilvl w:val="1"/>
        <w:numId w:val="46"/>
      </w:numPr>
    </w:pPr>
    <w:rPr>
      <w:b/>
      <w:lang w:val="fr-FR"/>
    </w:rPr>
  </w:style>
  <w:style w:type="paragraph" w:customStyle="1" w:styleId="AnnexHead3">
    <w:name w:val="Annex Head 3"/>
    <w:basedOn w:val="Normal"/>
    <w:next w:val="Normal"/>
    <w:rsid w:val="00125B75"/>
    <w:pPr>
      <w:numPr>
        <w:ilvl w:val="2"/>
        <w:numId w:val="46"/>
      </w:numPr>
    </w:pPr>
    <w:rPr>
      <w:b/>
    </w:rPr>
  </w:style>
  <w:style w:type="paragraph" w:customStyle="1" w:styleId="AnnexHead4">
    <w:name w:val="Annex Head 4"/>
    <w:basedOn w:val="Normal"/>
    <w:next w:val="Normal"/>
    <w:rsid w:val="00125B75"/>
    <w:pPr>
      <w:numPr>
        <w:ilvl w:val="3"/>
        <w:numId w:val="46"/>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yperlink" Target="http://www.coastalsafety.gov.t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ndvts.s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trep.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kystverket.n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Roaming\Microsoft\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2028B-EFE1-4CD1-AA4B-B905D5BE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Template>
  <TotalTime>356</TotalTime>
  <Pages>8</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10095</CharactersWithSpaces>
  <SharedDoc>false</SharedDoc>
  <HLinks>
    <vt:vector size="156" baseType="variant">
      <vt:variant>
        <vt:i4>1900596</vt:i4>
      </vt:variant>
      <vt:variant>
        <vt:i4>146</vt:i4>
      </vt:variant>
      <vt:variant>
        <vt:i4>0</vt:i4>
      </vt:variant>
      <vt:variant>
        <vt:i4>5</vt:i4>
      </vt:variant>
      <vt:variant>
        <vt:lpwstr/>
      </vt:variant>
      <vt:variant>
        <vt:lpwstr>_Toc216488874</vt:lpwstr>
      </vt:variant>
      <vt:variant>
        <vt:i4>1966132</vt:i4>
      </vt:variant>
      <vt:variant>
        <vt:i4>137</vt:i4>
      </vt:variant>
      <vt:variant>
        <vt:i4>0</vt:i4>
      </vt:variant>
      <vt:variant>
        <vt:i4>5</vt:i4>
      </vt:variant>
      <vt:variant>
        <vt:lpwstr/>
      </vt:variant>
      <vt:variant>
        <vt:lpwstr>_Toc216488847</vt:lpwstr>
      </vt:variant>
      <vt:variant>
        <vt:i4>1638459</vt:i4>
      </vt:variant>
      <vt:variant>
        <vt:i4>128</vt:i4>
      </vt:variant>
      <vt:variant>
        <vt:i4>0</vt:i4>
      </vt:variant>
      <vt:variant>
        <vt:i4>5</vt:i4>
      </vt:variant>
      <vt:variant>
        <vt:lpwstr/>
      </vt:variant>
      <vt:variant>
        <vt:lpwstr>_Toc216489721</vt:lpwstr>
      </vt:variant>
      <vt:variant>
        <vt:i4>1638459</vt:i4>
      </vt:variant>
      <vt:variant>
        <vt:i4>122</vt:i4>
      </vt:variant>
      <vt:variant>
        <vt:i4>0</vt:i4>
      </vt:variant>
      <vt:variant>
        <vt:i4>5</vt:i4>
      </vt:variant>
      <vt:variant>
        <vt:lpwstr/>
      </vt:variant>
      <vt:variant>
        <vt:lpwstr>_Toc216489720</vt:lpwstr>
      </vt:variant>
      <vt:variant>
        <vt:i4>1703995</vt:i4>
      </vt:variant>
      <vt:variant>
        <vt:i4>116</vt:i4>
      </vt:variant>
      <vt:variant>
        <vt:i4>0</vt:i4>
      </vt:variant>
      <vt:variant>
        <vt:i4>5</vt:i4>
      </vt:variant>
      <vt:variant>
        <vt:lpwstr/>
      </vt:variant>
      <vt:variant>
        <vt:lpwstr>_Toc216489719</vt:lpwstr>
      </vt:variant>
      <vt:variant>
        <vt:i4>1703995</vt:i4>
      </vt:variant>
      <vt:variant>
        <vt:i4>110</vt:i4>
      </vt:variant>
      <vt:variant>
        <vt:i4>0</vt:i4>
      </vt:variant>
      <vt:variant>
        <vt:i4>5</vt:i4>
      </vt:variant>
      <vt:variant>
        <vt:lpwstr/>
      </vt:variant>
      <vt:variant>
        <vt:lpwstr>_Toc216489718</vt:lpwstr>
      </vt:variant>
      <vt:variant>
        <vt:i4>1703995</vt:i4>
      </vt:variant>
      <vt:variant>
        <vt:i4>104</vt:i4>
      </vt:variant>
      <vt:variant>
        <vt:i4>0</vt:i4>
      </vt:variant>
      <vt:variant>
        <vt:i4>5</vt:i4>
      </vt:variant>
      <vt:variant>
        <vt:lpwstr/>
      </vt:variant>
      <vt:variant>
        <vt:lpwstr>_Toc216489717</vt:lpwstr>
      </vt:variant>
      <vt:variant>
        <vt:i4>1703995</vt:i4>
      </vt:variant>
      <vt:variant>
        <vt:i4>98</vt:i4>
      </vt:variant>
      <vt:variant>
        <vt:i4>0</vt:i4>
      </vt:variant>
      <vt:variant>
        <vt:i4>5</vt:i4>
      </vt:variant>
      <vt:variant>
        <vt:lpwstr/>
      </vt:variant>
      <vt:variant>
        <vt:lpwstr>_Toc216489716</vt:lpwstr>
      </vt:variant>
      <vt:variant>
        <vt:i4>1703995</vt:i4>
      </vt:variant>
      <vt:variant>
        <vt:i4>92</vt:i4>
      </vt:variant>
      <vt:variant>
        <vt:i4>0</vt:i4>
      </vt:variant>
      <vt:variant>
        <vt:i4>5</vt:i4>
      </vt:variant>
      <vt:variant>
        <vt:lpwstr/>
      </vt:variant>
      <vt:variant>
        <vt:lpwstr>_Toc216489715</vt:lpwstr>
      </vt:variant>
      <vt:variant>
        <vt:i4>1703995</vt:i4>
      </vt:variant>
      <vt:variant>
        <vt:i4>86</vt:i4>
      </vt:variant>
      <vt:variant>
        <vt:i4>0</vt:i4>
      </vt:variant>
      <vt:variant>
        <vt:i4>5</vt:i4>
      </vt:variant>
      <vt:variant>
        <vt:lpwstr/>
      </vt:variant>
      <vt:variant>
        <vt:lpwstr>_Toc216489714</vt:lpwstr>
      </vt:variant>
      <vt:variant>
        <vt:i4>1703995</vt:i4>
      </vt:variant>
      <vt:variant>
        <vt:i4>80</vt:i4>
      </vt:variant>
      <vt:variant>
        <vt:i4>0</vt:i4>
      </vt:variant>
      <vt:variant>
        <vt:i4>5</vt:i4>
      </vt:variant>
      <vt:variant>
        <vt:lpwstr/>
      </vt:variant>
      <vt:variant>
        <vt:lpwstr>_Toc216489713</vt:lpwstr>
      </vt:variant>
      <vt:variant>
        <vt:i4>1703995</vt:i4>
      </vt:variant>
      <vt:variant>
        <vt:i4>74</vt:i4>
      </vt:variant>
      <vt:variant>
        <vt:i4>0</vt:i4>
      </vt:variant>
      <vt:variant>
        <vt:i4>5</vt:i4>
      </vt:variant>
      <vt:variant>
        <vt:lpwstr/>
      </vt:variant>
      <vt:variant>
        <vt:lpwstr>_Toc216489712</vt:lpwstr>
      </vt:variant>
      <vt:variant>
        <vt:i4>1703995</vt:i4>
      </vt:variant>
      <vt:variant>
        <vt:i4>68</vt:i4>
      </vt:variant>
      <vt:variant>
        <vt:i4>0</vt:i4>
      </vt:variant>
      <vt:variant>
        <vt:i4>5</vt:i4>
      </vt:variant>
      <vt:variant>
        <vt:lpwstr/>
      </vt:variant>
      <vt:variant>
        <vt:lpwstr>_Toc216489711</vt:lpwstr>
      </vt:variant>
      <vt:variant>
        <vt:i4>1703995</vt:i4>
      </vt:variant>
      <vt:variant>
        <vt:i4>62</vt:i4>
      </vt:variant>
      <vt:variant>
        <vt:i4>0</vt:i4>
      </vt:variant>
      <vt:variant>
        <vt:i4>5</vt:i4>
      </vt:variant>
      <vt:variant>
        <vt:lpwstr/>
      </vt:variant>
      <vt:variant>
        <vt:lpwstr>_Toc216489710</vt:lpwstr>
      </vt:variant>
      <vt:variant>
        <vt:i4>1769531</vt:i4>
      </vt:variant>
      <vt:variant>
        <vt:i4>56</vt:i4>
      </vt:variant>
      <vt:variant>
        <vt:i4>0</vt:i4>
      </vt:variant>
      <vt:variant>
        <vt:i4>5</vt:i4>
      </vt:variant>
      <vt:variant>
        <vt:lpwstr/>
      </vt:variant>
      <vt:variant>
        <vt:lpwstr>_Toc216489709</vt:lpwstr>
      </vt:variant>
      <vt:variant>
        <vt:i4>1769531</vt:i4>
      </vt:variant>
      <vt:variant>
        <vt:i4>50</vt:i4>
      </vt:variant>
      <vt:variant>
        <vt:i4>0</vt:i4>
      </vt:variant>
      <vt:variant>
        <vt:i4>5</vt:i4>
      </vt:variant>
      <vt:variant>
        <vt:lpwstr/>
      </vt:variant>
      <vt:variant>
        <vt:lpwstr>_Toc216489708</vt:lpwstr>
      </vt:variant>
      <vt:variant>
        <vt:i4>1769531</vt:i4>
      </vt:variant>
      <vt:variant>
        <vt:i4>44</vt:i4>
      </vt:variant>
      <vt:variant>
        <vt:i4>0</vt:i4>
      </vt:variant>
      <vt:variant>
        <vt:i4>5</vt:i4>
      </vt:variant>
      <vt:variant>
        <vt:lpwstr/>
      </vt:variant>
      <vt:variant>
        <vt:lpwstr>_Toc216489707</vt:lpwstr>
      </vt:variant>
      <vt:variant>
        <vt:i4>1769531</vt:i4>
      </vt:variant>
      <vt:variant>
        <vt:i4>38</vt:i4>
      </vt:variant>
      <vt:variant>
        <vt:i4>0</vt:i4>
      </vt:variant>
      <vt:variant>
        <vt:i4>5</vt:i4>
      </vt:variant>
      <vt:variant>
        <vt:lpwstr/>
      </vt:variant>
      <vt:variant>
        <vt:lpwstr>_Toc216489706</vt:lpwstr>
      </vt:variant>
      <vt:variant>
        <vt:i4>1769531</vt:i4>
      </vt:variant>
      <vt:variant>
        <vt:i4>32</vt:i4>
      </vt:variant>
      <vt:variant>
        <vt:i4>0</vt:i4>
      </vt:variant>
      <vt:variant>
        <vt:i4>5</vt:i4>
      </vt:variant>
      <vt:variant>
        <vt:lpwstr/>
      </vt:variant>
      <vt:variant>
        <vt:lpwstr>_Toc216489705</vt:lpwstr>
      </vt:variant>
      <vt:variant>
        <vt:i4>1769531</vt:i4>
      </vt:variant>
      <vt:variant>
        <vt:i4>26</vt:i4>
      </vt:variant>
      <vt:variant>
        <vt:i4>0</vt:i4>
      </vt:variant>
      <vt:variant>
        <vt:i4>5</vt:i4>
      </vt:variant>
      <vt:variant>
        <vt:lpwstr/>
      </vt:variant>
      <vt:variant>
        <vt:lpwstr>_Toc216489704</vt:lpwstr>
      </vt:variant>
      <vt:variant>
        <vt:i4>1769531</vt:i4>
      </vt:variant>
      <vt:variant>
        <vt:i4>20</vt:i4>
      </vt:variant>
      <vt:variant>
        <vt:i4>0</vt:i4>
      </vt:variant>
      <vt:variant>
        <vt:i4>5</vt:i4>
      </vt:variant>
      <vt:variant>
        <vt:lpwstr/>
      </vt:variant>
      <vt:variant>
        <vt:lpwstr>_Toc216489703</vt:lpwstr>
      </vt:variant>
      <vt:variant>
        <vt:i4>1769531</vt:i4>
      </vt:variant>
      <vt:variant>
        <vt:i4>14</vt:i4>
      </vt:variant>
      <vt:variant>
        <vt:i4>0</vt:i4>
      </vt:variant>
      <vt:variant>
        <vt:i4>5</vt:i4>
      </vt:variant>
      <vt:variant>
        <vt:lpwstr/>
      </vt:variant>
      <vt:variant>
        <vt:lpwstr>_Toc216489702</vt:lpwstr>
      </vt:variant>
      <vt:variant>
        <vt:i4>1769531</vt:i4>
      </vt:variant>
      <vt:variant>
        <vt:i4>8</vt:i4>
      </vt:variant>
      <vt:variant>
        <vt:i4>0</vt:i4>
      </vt:variant>
      <vt:variant>
        <vt:i4>5</vt:i4>
      </vt:variant>
      <vt:variant>
        <vt:lpwstr/>
      </vt:variant>
      <vt:variant>
        <vt:lpwstr>_Toc216489701</vt:lpwstr>
      </vt:variant>
      <vt:variant>
        <vt:i4>1769531</vt:i4>
      </vt:variant>
      <vt:variant>
        <vt:i4>2</vt:i4>
      </vt:variant>
      <vt:variant>
        <vt:i4>0</vt:i4>
      </vt:variant>
      <vt:variant>
        <vt:i4>5</vt:i4>
      </vt:variant>
      <vt:variant>
        <vt:lpwstr/>
      </vt:variant>
      <vt:variant>
        <vt:lpwstr>_Toc216489700</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wjb</dc:creator>
  <cp:keywords/>
  <cp:lastModifiedBy>Mike Hadley</cp:lastModifiedBy>
  <cp:revision>50</cp:revision>
  <cp:lastPrinted>2009-10-11T10:57:00Z</cp:lastPrinted>
  <dcterms:created xsi:type="dcterms:W3CDTF">2009-09-16T09:07:00Z</dcterms:created>
  <dcterms:modified xsi:type="dcterms:W3CDTF">2009-11-03T07:43:00Z</dcterms:modified>
</cp:coreProperties>
</file>